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B46" w:rsidRDefault="000B7B46" w:rsidP="00E435CE">
      <w:pPr>
        <w:pStyle w:val="Header"/>
        <w:rPr>
          <w:b/>
          <w:color w:val="0070C0"/>
        </w:rPr>
      </w:pP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38"/>
        <w:gridCol w:w="4320"/>
        <w:gridCol w:w="1080"/>
        <w:gridCol w:w="4770"/>
        <w:gridCol w:w="900"/>
        <w:gridCol w:w="2808"/>
      </w:tblGrid>
      <w:tr w:rsidR="000B7B46" w:rsidTr="000B7B46">
        <w:tc>
          <w:tcPr>
            <w:tcW w:w="738" w:type="dxa"/>
            <w:tcBorders>
              <w:top w:val="nil"/>
              <w:bottom w:val="nil"/>
            </w:tcBorders>
          </w:tcPr>
          <w:p w:rsidR="000B7B46" w:rsidRPr="000B7B46" w:rsidRDefault="000B7B46" w:rsidP="00E435CE">
            <w:pPr>
              <w:pStyle w:val="Header"/>
              <w:rPr>
                <w:b/>
              </w:rPr>
            </w:pPr>
            <w:r w:rsidRPr="000B7B46">
              <w:rPr>
                <w:b/>
              </w:rPr>
              <w:t>Area:</w:t>
            </w:r>
          </w:p>
        </w:tc>
        <w:tc>
          <w:tcPr>
            <w:tcW w:w="4320" w:type="dxa"/>
          </w:tcPr>
          <w:p w:rsidR="000B7B46" w:rsidRPr="000B7B46" w:rsidRDefault="000B7B46" w:rsidP="00E435CE">
            <w:pPr>
              <w:pStyle w:val="Header"/>
              <w:rPr>
                <w:b/>
              </w:rPr>
            </w:pPr>
          </w:p>
        </w:tc>
        <w:tc>
          <w:tcPr>
            <w:tcW w:w="1080" w:type="dxa"/>
            <w:tcBorders>
              <w:top w:val="nil"/>
              <w:bottom w:val="nil"/>
            </w:tcBorders>
          </w:tcPr>
          <w:p w:rsidR="000B7B46" w:rsidRPr="000B7B46" w:rsidRDefault="000B7B46" w:rsidP="00E435CE">
            <w:pPr>
              <w:pStyle w:val="Header"/>
              <w:rPr>
                <w:b/>
              </w:rPr>
            </w:pPr>
            <w:r w:rsidRPr="000B7B46">
              <w:rPr>
                <w:b/>
              </w:rPr>
              <w:t>Center:</w:t>
            </w:r>
          </w:p>
        </w:tc>
        <w:tc>
          <w:tcPr>
            <w:tcW w:w="4770" w:type="dxa"/>
          </w:tcPr>
          <w:p w:rsidR="000B7B46" w:rsidRPr="000B7B46" w:rsidRDefault="000B7B46" w:rsidP="00E435CE">
            <w:pPr>
              <w:pStyle w:val="Header"/>
              <w:rPr>
                <w:b/>
              </w:rPr>
            </w:pPr>
          </w:p>
        </w:tc>
        <w:tc>
          <w:tcPr>
            <w:tcW w:w="900" w:type="dxa"/>
            <w:tcBorders>
              <w:top w:val="nil"/>
              <w:bottom w:val="nil"/>
            </w:tcBorders>
          </w:tcPr>
          <w:p w:rsidR="000B7B46" w:rsidRPr="000B7B46" w:rsidRDefault="000B7B46" w:rsidP="00E435CE">
            <w:pPr>
              <w:pStyle w:val="Header"/>
              <w:rPr>
                <w:b/>
              </w:rPr>
            </w:pPr>
            <w:r w:rsidRPr="000B7B46">
              <w:rPr>
                <w:b/>
              </w:rPr>
              <w:t>Date:</w:t>
            </w:r>
          </w:p>
        </w:tc>
        <w:tc>
          <w:tcPr>
            <w:tcW w:w="2808" w:type="dxa"/>
          </w:tcPr>
          <w:p w:rsidR="000B7B46" w:rsidRDefault="000B7B46" w:rsidP="00E435CE">
            <w:pPr>
              <w:pStyle w:val="Header"/>
              <w:rPr>
                <w:b/>
                <w:color w:val="0070C0"/>
              </w:rPr>
            </w:pPr>
          </w:p>
        </w:tc>
      </w:tr>
    </w:tbl>
    <w:p w:rsidR="000B7B46" w:rsidRDefault="000B7B46" w:rsidP="00E435CE">
      <w:pPr>
        <w:pStyle w:val="Header"/>
        <w:rPr>
          <w:b/>
        </w:rPr>
      </w:pPr>
    </w:p>
    <w:p w:rsidR="000B7B46" w:rsidRPr="007F2A6C" w:rsidRDefault="000B7B46" w:rsidP="00E435CE">
      <w:pPr>
        <w:pStyle w:val="Header"/>
      </w:pPr>
      <w:r w:rsidRPr="007F2A6C">
        <w:t xml:space="preserve">The responses to the </w:t>
      </w:r>
      <w:r w:rsidR="001A36B9" w:rsidRPr="007F2A6C">
        <w:t>P</w:t>
      </w:r>
      <w:r w:rsidRPr="007F2A6C">
        <w:t xml:space="preserve">erformance </w:t>
      </w:r>
      <w:r w:rsidR="001A36B9" w:rsidRPr="007F2A6C">
        <w:t>M</w:t>
      </w:r>
      <w:r w:rsidRPr="007F2A6C">
        <w:t xml:space="preserve">easure </w:t>
      </w:r>
      <w:r w:rsidR="001A36B9" w:rsidRPr="007F2A6C">
        <w:t>C</w:t>
      </w:r>
      <w:r w:rsidRPr="007F2A6C">
        <w:t xml:space="preserve">hecklist are used to inform WSO leadership and stakeholders of the progress with standards implementation—to track on our improved success as a system and to be able identify trends that require additional attention, support and resource.    Each of the areas below is identified in the standards.  Local Leadership Teams should review the standards and all </w:t>
      </w:r>
      <w:r w:rsidR="001A36B9" w:rsidRPr="007F2A6C">
        <w:t>S</w:t>
      </w:r>
      <w:r w:rsidRPr="007F2A6C">
        <w:t xml:space="preserve">tandards </w:t>
      </w:r>
      <w:r w:rsidR="001A36B9" w:rsidRPr="007F2A6C">
        <w:t>R</w:t>
      </w:r>
      <w:r w:rsidRPr="007F2A6C">
        <w:t xml:space="preserve">eferences listed in the right-hand column before responding.   To assist you, definitions of each option are listed below.  </w:t>
      </w:r>
    </w:p>
    <w:p w:rsidR="000B7B46" w:rsidRPr="007F2A6C" w:rsidRDefault="000B7B46" w:rsidP="00E435CE">
      <w:pPr>
        <w:pStyle w:val="Header"/>
      </w:pPr>
    </w:p>
    <w:p w:rsidR="000B7B46" w:rsidRPr="007F2A6C" w:rsidRDefault="000B7B46" w:rsidP="007B14CE">
      <w:pPr>
        <w:pStyle w:val="Header"/>
        <w:numPr>
          <w:ilvl w:val="0"/>
          <w:numId w:val="4"/>
        </w:numPr>
      </w:pPr>
      <w:r w:rsidRPr="007F2A6C">
        <w:rPr>
          <w:u w:val="single"/>
        </w:rPr>
        <w:t>Yes</w:t>
      </w:r>
      <w:r w:rsidRPr="007F2A6C">
        <w:t xml:space="preserve">:  A response of </w:t>
      </w:r>
      <w:r w:rsidR="001A36B9" w:rsidRPr="007F2A6C">
        <w:t>“Y</w:t>
      </w:r>
      <w:r w:rsidRPr="007F2A6C">
        <w:t>es</w:t>
      </w:r>
      <w:r w:rsidR="001A36B9" w:rsidRPr="007F2A6C">
        <w:t>”</w:t>
      </w:r>
      <w:r w:rsidRPr="007F2A6C">
        <w:t xml:space="preserve"> means that a center has fully </w:t>
      </w:r>
      <w:r w:rsidR="00031DF5" w:rsidRPr="007F2A6C">
        <w:t>implemented</w:t>
      </w:r>
      <w:r w:rsidRPr="007F2A6C">
        <w:t xml:space="preserve"> the standard and meets requirements of </w:t>
      </w:r>
      <w:r w:rsidRPr="007F2A6C">
        <w:rPr>
          <w:i/>
        </w:rPr>
        <w:t>all</w:t>
      </w:r>
      <w:r w:rsidRPr="007F2A6C">
        <w:t xml:space="preserve"> </w:t>
      </w:r>
      <w:r w:rsidR="001A36B9" w:rsidRPr="007F2A6C">
        <w:t>S</w:t>
      </w:r>
      <w:r w:rsidRPr="007F2A6C">
        <w:t xml:space="preserve">tandards </w:t>
      </w:r>
      <w:r w:rsidR="001A36B9" w:rsidRPr="007F2A6C">
        <w:t>R</w:t>
      </w:r>
      <w:r w:rsidRPr="007F2A6C">
        <w:t>eferences provided</w:t>
      </w:r>
      <w:r w:rsidR="001A36B9" w:rsidRPr="007F2A6C">
        <w:t xml:space="preserve"> in the right-hand column</w:t>
      </w:r>
      <w:r w:rsidRPr="007F2A6C">
        <w:t>.</w:t>
      </w:r>
      <w:r w:rsidR="001A36B9" w:rsidRPr="007F2A6C">
        <w:t xml:space="preserve">  A center </w:t>
      </w:r>
      <w:r w:rsidR="00031DF5" w:rsidRPr="007F2A6C">
        <w:t>must</w:t>
      </w:r>
      <w:r w:rsidR="001A36B9" w:rsidRPr="007F2A6C">
        <w:t xml:space="preserve"> be able to provide or demonstrate </w:t>
      </w:r>
      <w:r w:rsidR="00031DF5" w:rsidRPr="007F2A6C">
        <w:t>achievement of the standard</w:t>
      </w:r>
      <w:r w:rsidR="001A36B9" w:rsidRPr="007F2A6C">
        <w:t xml:space="preserve"> where a “yes” response is indicated.  </w:t>
      </w:r>
    </w:p>
    <w:p w:rsidR="007B14CE" w:rsidRPr="007F2A6C" w:rsidRDefault="007B14CE" w:rsidP="007B14CE">
      <w:pPr>
        <w:pStyle w:val="Header"/>
        <w:ind w:left="720"/>
      </w:pPr>
    </w:p>
    <w:p w:rsidR="000B7B46" w:rsidRPr="007F2A6C" w:rsidRDefault="000B7B46" w:rsidP="007B14CE">
      <w:pPr>
        <w:pStyle w:val="Header"/>
        <w:numPr>
          <w:ilvl w:val="0"/>
          <w:numId w:val="4"/>
        </w:numPr>
      </w:pPr>
      <w:r w:rsidRPr="007F2A6C">
        <w:rPr>
          <w:u w:val="single"/>
        </w:rPr>
        <w:t>In Progress</w:t>
      </w:r>
      <w:r w:rsidRPr="007F2A6C">
        <w:t xml:space="preserve">:  A response of </w:t>
      </w:r>
      <w:r w:rsidR="001A36B9" w:rsidRPr="007F2A6C">
        <w:t>“I</w:t>
      </w:r>
      <w:r w:rsidRPr="007F2A6C">
        <w:t xml:space="preserve">n </w:t>
      </w:r>
      <w:r w:rsidR="001A36B9" w:rsidRPr="007F2A6C">
        <w:t>P</w:t>
      </w:r>
      <w:r w:rsidRPr="007F2A6C">
        <w:t>rogress</w:t>
      </w:r>
      <w:r w:rsidR="001A36B9" w:rsidRPr="007F2A6C">
        <w:t xml:space="preserve">” </w:t>
      </w:r>
      <w:r w:rsidRPr="007F2A6C">
        <w:t xml:space="preserve">means that a center has begun work toward </w:t>
      </w:r>
      <w:r w:rsidR="00031DF5" w:rsidRPr="007F2A6C">
        <w:t xml:space="preserve">implementation and/or has implemented </w:t>
      </w:r>
      <w:r w:rsidRPr="007F2A6C">
        <w:t>some</w:t>
      </w:r>
      <w:r w:rsidR="00031DF5" w:rsidRPr="007F2A6C">
        <w:t>, but not all,</w:t>
      </w:r>
      <w:r w:rsidRPr="007F2A6C">
        <w:t xml:space="preserve"> of the </w:t>
      </w:r>
      <w:r w:rsidR="001A36B9" w:rsidRPr="007F2A6C">
        <w:t>S</w:t>
      </w:r>
      <w:r w:rsidRPr="007F2A6C">
        <w:t xml:space="preserve">tandards </w:t>
      </w:r>
      <w:r w:rsidR="001A36B9" w:rsidRPr="007F2A6C">
        <w:t>R</w:t>
      </w:r>
      <w:r w:rsidRPr="007F2A6C">
        <w:t>eferences provided in the right-hand column.</w:t>
      </w:r>
      <w:r w:rsidR="00C971BB" w:rsidRPr="007F2A6C">
        <w:t xml:space="preserve">  </w:t>
      </w:r>
    </w:p>
    <w:p w:rsidR="007B14CE" w:rsidRPr="007F2A6C" w:rsidRDefault="007B14CE" w:rsidP="007B14CE">
      <w:pPr>
        <w:pStyle w:val="Header"/>
        <w:ind w:left="720"/>
      </w:pPr>
    </w:p>
    <w:p w:rsidR="000B7B46" w:rsidRPr="007F2A6C" w:rsidRDefault="000B7B46" w:rsidP="007B14CE">
      <w:pPr>
        <w:pStyle w:val="Header"/>
        <w:numPr>
          <w:ilvl w:val="0"/>
          <w:numId w:val="4"/>
        </w:numPr>
      </w:pPr>
      <w:r w:rsidRPr="007F2A6C">
        <w:rPr>
          <w:u w:val="single"/>
        </w:rPr>
        <w:t>No</w:t>
      </w:r>
      <w:r w:rsidRPr="007F2A6C">
        <w:t xml:space="preserve">:  A response of </w:t>
      </w:r>
      <w:r w:rsidR="001A36B9" w:rsidRPr="007F2A6C">
        <w:t>“</w:t>
      </w:r>
      <w:r w:rsidRPr="007F2A6C">
        <w:t>no</w:t>
      </w:r>
      <w:r w:rsidR="001A36B9" w:rsidRPr="007F2A6C">
        <w:t>”</w:t>
      </w:r>
      <w:r w:rsidRPr="007F2A6C">
        <w:t xml:space="preserve"> means that a center has not begun work on this area and </w:t>
      </w:r>
      <w:r w:rsidR="00031DF5" w:rsidRPr="007F2A6C">
        <w:t>has not begun implementation of</w:t>
      </w:r>
      <w:r w:rsidRPr="007F2A6C">
        <w:t xml:space="preserve"> </w:t>
      </w:r>
      <w:r w:rsidRPr="007F2A6C">
        <w:rPr>
          <w:i/>
        </w:rPr>
        <w:t xml:space="preserve">any </w:t>
      </w:r>
      <w:r w:rsidRPr="007F2A6C">
        <w:t xml:space="preserve">of the </w:t>
      </w:r>
      <w:r w:rsidR="00031DF5" w:rsidRPr="007F2A6C">
        <w:t>S</w:t>
      </w:r>
      <w:r w:rsidRPr="007F2A6C">
        <w:t xml:space="preserve">tandards </w:t>
      </w:r>
      <w:r w:rsidR="00031DF5" w:rsidRPr="007F2A6C">
        <w:t>R</w:t>
      </w:r>
      <w:r w:rsidRPr="007F2A6C">
        <w:t>eferences provided in the right-hand column.</w:t>
      </w:r>
      <w:r w:rsidR="00C971BB" w:rsidRPr="007F2A6C">
        <w:t xml:space="preserve">  If indicating “no,” please include any assistance that would be helpful and when you anticipate being yellow or green in the comments section.  </w:t>
      </w:r>
    </w:p>
    <w:p w:rsidR="00732832" w:rsidRPr="007F2A6C" w:rsidRDefault="00732832" w:rsidP="00732832">
      <w:pPr>
        <w:pStyle w:val="Header"/>
      </w:pPr>
    </w:p>
    <w:p w:rsidR="00732832" w:rsidRPr="007F2A6C" w:rsidRDefault="00732832" w:rsidP="00732832">
      <w:pPr>
        <w:pStyle w:val="Header"/>
      </w:pPr>
      <w:r w:rsidRPr="007F2A6C">
        <w:t xml:space="preserve">EXAMPLE:  A center has adopted the brand of WSO and has appropriate signage.  However, the center has not developed professional standards.  This would be marked as “In Progress.”  </w:t>
      </w:r>
    </w:p>
    <w:p w:rsidR="000B7B46" w:rsidRPr="007F2A6C" w:rsidRDefault="000B7B46" w:rsidP="00E435CE">
      <w:pPr>
        <w:pStyle w:val="Header"/>
      </w:pPr>
    </w:p>
    <w:p w:rsidR="001A36B9" w:rsidRPr="007F2A6C" w:rsidRDefault="007B14CE" w:rsidP="00E435CE">
      <w:pPr>
        <w:pStyle w:val="Header"/>
        <w:rPr>
          <w:rStyle w:val="Hyperlink"/>
          <w:rFonts w:asciiTheme="minorHAnsi" w:hAnsiTheme="minorHAnsi"/>
        </w:rPr>
      </w:pPr>
      <w:r w:rsidRPr="007F2A6C">
        <w:t xml:space="preserve">This form is fillable and there is a space for comments at the end of the form.  </w:t>
      </w:r>
      <w:r w:rsidR="001A36B9" w:rsidRPr="007F2A6C">
        <w:t xml:space="preserve">If you have any questions regarding this checklist, please contact the technical assistance team at </w:t>
      </w:r>
      <w:hyperlink r:id="rId8" w:history="1">
        <w:r w:rsidR="001A36B9" w:rsidRPr="007F2A6C">
          <w:rPr>
            <w:rStyle w:val="Hyperlink"/>
            <w:rFonts w:asciiTheme="minorHAnsi" w:hAnsiTheme="minorHAnsi"/>
          </w:rPr>
          <w:t>wsostandards@oregon.gov</w:t>
        </w:r>
      </w:hyperlink>
      <w:r w:rsidR="001A36B9" w:rsidRPr="007F2A6C">
        <w:rPr>
          <w:rStyle w:val="Hyperlink"/>
          <w:rFonts w:asciiTheme="minorHAnsi" w:hAnsiTheme="minorHAnsi"/>
        </w:rPr>
        <w:t xml:space="preserve">. </w:t>
      </w:r>
    </w:p>
    <w:p w:rsidR="007B14CE" w:rsidRDefault="007B14CE" w:rsidP="00E435CE">
      <w:pPr>
        <w:pStyle w:val="Header"/>
        <w:rPr>
          <w:b/>
        </w:rPr>
      </w:pPr>
    </w:p>
    <w:p w:rsidR="000B7B46" w:rsidRDefault="000B7B46" w:rsidP="00E435CE">
      <w:pPr>
        <w:pStyle w:val="Header"/>
        <w:rPr>
          <w:b/>
        </w:rPr>
      </w:pPr>
    </w:p>
    <w:p w:rsidR="007F2A6C" w:rsidRPr="000B7B46" w:rsidRDefault="007F2A6C" w:rsidP="00E435CE">
      <w:pPr>
        <w:pStyle w:val="Header"/>
        <w:rPr>
          <w:b/>
        </w:rPr>
      </w:pPr>
    </w:p>
    <w:tbl>
      <w:tblPr>
        <w:tblStyle w:val="TableGrid"/>
        <w:tblW w:w="0" w:type="auto"/>
        <w:tblLook w:val="04A0" w:firstRow="1" w:lastRow="0" w:firstColumn="1" w:lastColumn="0" w:noHBand="0" w:noVBand="1"/>
      </w:tblPr>
      <w:tblGrid>
        <w:gridCol w:w="2390"/>
        <w:gridCol w:w="37"/>
        <w:gridCol w:w="8156"/>
        <w:gridCol w:w="1609"/>
        <w:gridCol w:w="2424"/>
      </w:tblGrid>
      <w:tr w:rsidR="004E4BC6" w:rsidTr="007B14CE">
        <w:tc>
          <w:tcPr>
            <w:tcW w:w="2231" w:type="dxa"/>
            <w:shd w:val="clear" w:color="auto" w:fill="000000" w:themeFill="text1"/>
          </w:tcPr>
          <w:p w:rsidR="004E4BC6" w:rsidRPr="004E4BC6" w:rsidRDefault="004E4BC6" w:rsidP="004E4BC6">
            <w:pPr>
              <w:jc w:val="center"/>
              <w:rPr>
                <w:b/>
                <w:sz w:val="24"/>
                <w:szCs w:val="24"/>
              </w:rPr>
            </w:pPr>
            <w:r w:rsidRPr="004E4BC6">
              <w:rPr>
                <w:b/>
                <w:sz w:val="24"/>
                <w:szCs w:val="24"/>
              </w:rPr>
              <w:t>Standard</w:t>
            </w:r>
          </w:p>
        </w:tc>
        <w:tc>
          <w:tcPr>
            <w:tcW w:w="8317" w:type="dxa"/>
            <w:gridSpan w:val="2"/>
            <w:shd w:val="clear" w:color="auto" w:fill="000000" w:themeFill="text1"/>
          </w:tcPr>
          <w:p w:rsidR="004E4BC6" w:rsidRPr="004E4BC6" w:rsidRDefault="004E4BC6" w:rsidP="004E4BC6">
            <w:pPr>
              <w:jc w:val="center"/>
              <w:rPr>
                <w:b/>
                <w:sz w:val="24"/>
                <w:szCs w:val="24"/>
              </w:rPr>
            </w:pPr>
            <w:r w:rsidRPr="004E4BC6">
              <w:rPr>
                <w:b/>
                <w:sz w:val="24"/>
                <w:szCs w:val="24"/>
              </w:rPr>
              <w:t>Definition</w:t>
            </w:r>
          </w:p>
        </w:tc>
        <w:tc>
          <w:tcPr>
            <w:tcW w:w="1620" w:type="dxa"/>
            <w:shd w:val="clear" w:color="auto" w:fill="000000" w:themeFill="text1"/>
          </w:tcPr>
          <w:p w:rsidR="004E4BC6" w:rsidRPr="004E4BC6" w:rsidRDefault="00351A82" w:rsidP="004E4BC6">
            <w:pPr>
              <w:jc w:val="center"/>
              <w:rPr>
                <w:b/>
                <w:sz w:val="24"/>
                <w:szCs w:val="24"/>
              </w:rPr>
            </w:pPr>
            <w:r>
              <w:rPr>
                <w:b/>
                <w:sz w:val="24"/>
                <w:szCs w:val="24"/>
              </w:rPr>
              <w:t>Update</w:t>
            </w:r>
          </w:p>
        </w:tc>
        <w:tc>
          <w:tcPr>
            <w:tcW w:w="2448" w:type="dxa"/>
            <w:shd w:val="clear" w:color="auto" w:fill="000000" w:themeFill="text1"/>
          </w:tcPr>
          <w:p w:rsidR="004E4BC6" w:rsidRPr="004E4BC6" w:rsidRDefault="00351A82" w:rsidP="004E4BC6">
            <w:pPr>
              <w:jc w:val="center"/>
              <w:rPr>
                <w:b/>
                <w:sz w:val="24"/>
                <w:szCs w:val="24"/>
              </w:rPr>
            </w:pPr>
            <w:r>
              <w:rPr>
                <w:b/>
                <w:sz w:val="24"/>
                <w:szCs w:val="24"/>
              </w:rPr>
              <w:t>Standards Reference</w:t>
            </w:r>
          </w:p>
        </w:tc>
      </w:tr>
      <w:tr w:rsidR="004E4BC6" w:rsidRPr="00547B79" w:rsidTr="007B14CE">
        <w:tc>
          <w:tcPr>
            <w:tcW w:w="2231" w:type="dxa"/>
            <w:shd w:val="clear" w:color="auto" w:fill="D9D9D9" w:themeFill="background1" w:themeFillShade="D9"/>
          </w:tcPr>
          <w:p w:rsidR="004E4BC6" w:rsidRPr="007B14CE" w:rsidRDefault="004E4BC6" w:rsidP="004E4BC6">
            <w:pPr>
              <w:jc w:val="center"/>
              <w:rPr>
                <w:b/>
                <w:sz w:val="24"/>
                <w:szCs w:val="24"/>
              </w:rPr>
            </w:pPr>
            <w:r w:rsidRPr="007B14CE">
              <w:rPr>
                <w:b/>
                <w:sz w:val="24"/>
                <w:szCs w:val="24"/>
              </w:rPr>
              <w:t>Co-location</w:t>
            </w:r>
          </w:p>
        </w:tc>
        <w:tc>
          <w:tcPr>
            <w:tcW w:w="8317" w:type="dxa"/>
            <w:gridSpan w:val="2"/>
            <w:shd w:val="clear" w:color="auto" w:fill="D9D9D9" w:themeFill="background1" w:themeFillShade="D9"/>
          </w:tcPr>
          <w:p w:rsidR="004E4BC6" w:rsidRPr="007B14CE" w:rsidRDefault="004E4BC6" w:rsidP="004E4BC6">
            <w:pPr>
              <w:pStyle w:val="NoSpacing"/>
              <w:rPr>
                <w:sz w:val="24"/>
                <w:szCs w:val="24"/>
              </w:rPr>
            </w:pPr>
            <w:r w:rsidRPr="007B14CE">
              <w:rPr>
                <w:sz w:val="24"/>
                <w:szCs w:val="24"/>
              </w:rPr>
              <w:t xml:space="preserve">In order to be designated as a WorkSource Oregon center, Wagner-Peyser employment service offices must be co-located with Title IB one-stop centers.  </w:t>
            </w:r>
          </w:p>
        </w:tc>
        <w:tc>
          <w:tcPr>
            <w:tcW w:w="1620" w:type="dxa"/>
          </w:tcPr>
          <w:p w:rsidR="004E4BC6" w:rsidRPr="007B14CE" w:rsidRDefault="007F2A6C" w:rsidP="008779AF">
            <w:pPr>
              <w:tabs>
                <w:tab w:val="left" w:pos="870"/>
              </w:tabs>
              <w:rPr>
                <w:sz w:val="24"/>
                <w:szCs w:val="24"/>
              </w:rPr>
            </w:pPr>
            <w:sdt>
              <w:sdtPr>
                <w:rPr>
                  <w:sz w:val="24"/>
                  <w:szCs w:val="24"/>
                </w:rPr>
                <w:id w:val="11272335"/>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Yes</w:t>
            </w:r>
          </w:p>
          <w:p w:rsidR="008779AF" w:rsidRPr="007B14CE" w:rsidRDefault="007F2A6C" w:rsidP="008779AF">
            <w:pPr>
              <w:tabs>
                <w:tab w:val="left" w:pos="870"/>
              </w:tabs>
              <w:rPr>
                <w:sz w:val="24"/>
                <w:szCs w:val="24"/>
              </w:rPr>
            </w:pPr>
            <w:sdt>
              <w:sdtPr>
                <w:rPr>
                  <w:sz w:val="24"/>
                  <w:szCs w:val="24"/>
                </w:rPr>
                <w:id w:val="-1053224429"/>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In Progress</w:t>
            </w:r>
          </w:p>
          <w:p w:rsidR="008779AF" w:rsidRPr="007B14CE" w:rsidRDefault="007F2A6C" w:rsidP="008779AF">
            <w:pPr>
              <w:tabs>
                <w:tab w:val="left" w:pos="870"/>
              </w:tabs>
              <w:rPr>
                <w:sz w:val="24"/>
                <w:szCs w:val="24"/>
              </w:rPr>
            </w:pPr>
            <w:sdt>
              <w:sdtPr>
                <w:rPr>
                  <w:sz w:val="24"/>
                  <w:szCs w:val="24"/>
                </w:rPr>
                <w:id w:val="-1678951890"/>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No</w:t>
            </w:r>
          </w:p>
        </w:tc>
        <w:tc>
          <w:tcPr>
            <w:tcW w:w="2448" w:type="dxa"/>
          </w:tcPr>
          <w:p w:rsidR="0068184A" w:rsidRPr="007B14CE" w:rsidRDefault="0068184A" w:rsidP="00351A82">
            <w:pPr>
              <w:jc w:val="center"/>
              <w:rPr>
                <w:sz w:val="24"/>
                <w:szCs w:val="24"/>
              </w:rPr>
            </w:pPr>
            <w:r w:rsidRPr="007B14CE">
              <w:rPr>
                <w:sz w:val="24"/>
                <w:szCs w:val="24"/>
              </w:rPr>
              <w:t>CL1</w:t>
            </w:r>
          </w:p>
          <w:p w:rsidR="004E4BC6" w:rsidRPr="007B14CE" w:rsidRDefault="00351A82" w:rsidP="00351A82">
            <w:pPr>
              <w:jc w:val="center"/>
              <w:rPr>
                <w:sz w:val="24"/>
                <w:szCs w:val="24"/>
              </w:rPr>
            </w:pPr>
            <w:r w:rsidRPr="007B14CE">
              <w:rPr>
                <w:sz w:val="24"/>
                <w:szCs w:val="24"/>
              </w:rPr>
              <w:t xml:space="preserve">Pages </w:t>
            </w:r>
            <w:r w:rsidR="003701D1" w:rsidRPr="007B14CE">
              <w:rPr>
                <w:sz w:val="24"/>
                <w:szCs w:val="24"/>
              </w:rPr>
              <w:t xml:space="preserve">7, </w:t>
            </w:r>
            <w:r w:rsidRPr="007B14CE">
              <w:rPr>
                <w:sz w:val="24"/>
                <w:szCs w:val="24"/>
              </w:rPr>
              <w:t>25</w:t>
            </w:r>
          </w:p>
        </w:tc>
      </w:tr>
      <w:tr w:rsidR="004E4BC6" w:rsidRPr="00547B79" w:rsidTr="007B14CE">
        <w:tc>
          <w:tcPr>
            <w:tcW w:w="2231" w:type="dxa"/>
            <w:shd w:val="clear" w:color="auto" w:fill="D9D9D9" w:themeFill="background1" w:themeFillShade="D9"/>
          </w:tcPr>
          <w:p w:rsidR="004E4BC6" w:rsidRPr="007B14CE" w:rsidRDefault="004E4BC6" w:rsidP="004E4BC6">
            <w:pPr>
              <w:jc w:val="center"/>
              <w:rPr>
                <w:b/>
                <w:sz w:val="24"/>
                <w:szCs w:val="24"/>
              </w:rPr>
            </w:pPr>
            <w:r w:rsidRPr="007B14CE">
              <w:rPr>
                <w:b/>
                <w:sz w:val="24"/>
                <w:szCs w:val="24"/>
              </w:rPr>
              <w:t>Alignment of Services</w:t>
            </w:r>
          </w:p>
        </w:tc>
        <w:tc>
          <w:tcPr>
            <w:tcW w:w="8317" w:type="dxa"/>
            <w:gridSpan w:val="2"/>
            <w:shd w:val="clear" w:color="auto" w:fill="D9D9D9" w:themeFill="background1" w:themeFillShade="D9"/>
          </w:tcPr>
          <w:p w:rsidR="004E4BC6" w:rsidRPr="007B14CE" w:rsidRDefault="004E4BC6" w:rsidP="004E4BC6">
            <w:pPr>
              <w:rPr>
                <w:sz w:val="24"/>
                <w:szCs w:val="24"/>
              </w:rPr>
            </w:pPr>
            <w:r w:rsidRPr="007B14CE">
              <w:rPr>
                <w:sz w:val="24"/>
                <w:szCs w:val="24"/>
              </w:rPr>
              <w:t xml:space="preserve">Total staff resources across both (W-P/Title 1) funding streams will be pooled together and allocated collectively to ensure all services are delivered in accordance with the requirements of these operational standards.  </w:t>
            </w:r>
          </w:p>
        </w:tc>
        <w:tc>
          <w:tcPr>
            <w:tcW w:w="1620" w:type="dxa"/>
          </w:tcPr>
          <w:p w:rsidR="008779AF" w:rsidRPr="007B14CE" w:rsidRDefault="007F2A6C" w:rsidP="008779AF">
            <w:pPr>
              <w:tabs>
                <w:tab w:val="left" w:pos="870"/>
              </w:tabs>
              <w:rPr>
                <w:sz w:val="24"/>
                <w:szCs w:val="24"/>
              </w:rPr>
            </w:pPr>
            <w:sdt>
              <w:sdtPr>
                <w:rPr>
                  <w:sz w:val="24"/>
                  <w:szCs w:val="24"/>
                </w:rPr>
                <w:id w:val="1204675719"/>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Yes</w:t>
            </w:r>
          </w:p>
          <w:p w:rsidR="008779AF" w:rsidRPr="007B14CE" w:rsidRDefault="007F2A6C" w:rsidP="008779AF">
            <w:pPr>
              <w:tabs>
                <w:tab w:val="left" w:pos="870"/>
              </w:tabs>
              <w:rPr>
                <w:sz w:val="24"/>
                <w:szCs w:val="24"/>
              </w:rPr>
            </w:pPr>
            <w:sdt>
              <w:sdtPr>
                <w:rPr>
                  <w:sz w:val="24"/>
                  <w:szCs w:val="24"/>
                </w:rPr>
                <w:id w:val="1753778504"/>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In Progress</w:t>
            </w:r>
          </w:p>
          <w:p w:rsidR="004E4BC6" w:rsidRPr="007B14CE" w:rsidRDefault="007F2A6C" w:rsidP="008779AF">
            <w:pPr>
              <w:rPr>
                <w:sz w:val="24"/>
                <w:szCs w:val="24"/>
              </w:rPr>
            </w:pPr>
            <w:sdt>
              <w:sdtPr>
                <w:rPr>
                  <w:sz w:val="24"/>
                  <w:szCs w:val="24"/>
                </w:rPr>
                <w:id w:val="-145905575"/>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No</w:t>
            </w:r>
          </w:p>
        </w:tc>
        <w:tc>
          <w:tcPr>
            <w:tcW w:w="2448" w:type="dxa"/>
          </w:tcPr>
          <w:p w:rsidR="0068184A" w:rsidRPr="007B14CE" w:rsidRDefault="0068184A" w:rsidP="00351A82">
            <w:pPr>
              <w:jc w:val="center"/>
              <w:rPr>
                <w:sz w:val="24"/>
                <w:szCs w:val="24"/>
              </w:rPr>
            </w:pPr>
            <w:r w:rsidRPr="007B14CE">
              <w:rPr>
                <w:sz w:val="24"/>
                <w:szCs w:val="24"/>
              </w:rPr>
              <w:t>AS -  AS2</w:t>
            </w:r>
          </w:p>
          <w:p w:rsidR="004E4BC6" w:rsidRPr="007B14CE" w:rsidRDefault="00351A82" w:rsidP="00351A82">
            <w:pPr>
              <w:jc w:val="center"/>
              <w:rPr>
                <w:sz w:val="24"/>
                <w:szCs w:val="24"/>
              </w:rPr>
            </w:pPr>
            <w:r w:rsidRPr="007B14CE">
              <w:rPr>
                <w:sz w:val="24"/>
                <w:szCs w:val="24"/>
              </w:rPr>
              <w:t xml:space="preserve">Pages </w:t>
            </w:r>
            <w:r w:rsidR="003701D1" w:rsidRPr="007B14CE">
              <w:rPr>
                <w:sz w:val="24"/>
                <w:szCs w:val="24"/>
              </w:rPr>
              <w:t xml:space="preserve">7, </w:t>
            </w:r>
            <w:r w:rsidRPr="007B14CE">
              <w:rPr>
                <w:sz w:val="24"/>
                <w:szCs w:val="24"/>
              </w:rPr>
              <w:t>25</w:t>
            </w:r>
          </w:p>
        </w:tc>
      </w:tr>
      <w:tr w:rsidR="007B14CE" w:rsidRPr="004E4BC6" w:rsidTr="007B14CE">
        <w:tc>
          <w:tcPr>
            <w:tcW w:w="2268" w:type="dxa"/>
            <w:gridSpan w:val="2"/>
            <w:shd w:val="clear" w:color="auto" w:fill="000000" w:themeFill="text1"/>
          </w:tcPr>
          <w:p w:rsidR="007B14CE" w:rsidRPr="004E4BC6" w:rsidRDefault="007B14CE" w:rsidP="000B059A">
            <w:pPr>
              <w:jc w:val="center"/>
              <w:rPr>
                <w:b/>
                <w:sz w:val="24"/>
                <w:szCs w:val="24"/>
              </w:rPr>
            </w:pPr>
            <w:r w:rsidRPr="004E4BC6">
              <w:rPr>
                <w:b/>
                <w:sz w:val="24"/>
                <w:szCs w:val="24"/>
              </w:rPr>
              <w:lastRenderedPageBreak/>
              <w:t>Standard</w:t>
            </w:r>
          </w:p>
        </w:tc>
        <w:tc>
          <w:tcPr>
            <w:tcW w:w="8280" w:type="dxa"/>
            <w:shd w:val="clear" w:color="auto" w:fill="000000" w:themeFill="text1"/>
          </w:tcPr>
          <w:p w:rsidR="007B14CE" w:rsidRPr="004E4BC6" w:rsidRDefault="007B14CE" w:rsidP="000B059A">
            <w:pPr>
              <w:jc w:val="center"/>
              <w:rPr>
                <w:b/>
                <w:sz w:val="24"/>
                <w:szCs w:val="24"/>
              </w:rPr>
            </w:pPr>
            <w:r w:rsidRPr="004E4BC6">
              <w:rPr>
                <w:b/>
                <w:sz w:val="24"/>
                <w:szCs w:val="24"/>
              </w:rPr>
              <w:t>Definition</w:t>
            </w:r>
          </w:p>
        </w:tc>
        <w:tc>
          <w:tcPr>
            <w:tcW w:w="1620" w:type="dxa"/>
            <w:shd w:val="clear" w:color="auto" w:fill="000000" w:themeFill="text1"/>
          </w:tcPr>
          <w:p w:rsidR="007B14CE" w:rsidRPr="004E4BC6" w:rsidRDefault="007B14CE" w:rsidP="000B059A">
            <w:pPr>
              <w:jc w:val="center"/>
              <w:rPr>
                <w:b/>
                <w:sz w:val="24"/>
                <w:szCs w:val="24"/>
              </w:rPr>
            </w:pPr>
            <w:r>
              <w:rPr>
                <w:b/>
                <w:sz w:val="24"/>
                <w:szCs w:val="24"/>
              </w:rPr>
              <w:t>Update</w:t>
            </w:r>
          </w:p>
        </w:tc>
        <w:tc>
          <w:tcPr>
            <w:tcW w:w="2448" w:type="dxa"/>
            <w:shd w:val="clear" w:color="auto" w:fill="000000" w:themeFill="text1"/>
          </w:tcPr>
          <w:p w:rsidR="007B14CE" w:rsidRPr="004E4BC6" w:rsidRDefault="007B14CE" w:rsidP="000B059A">
            <w:pPr>
              <w:jc w:val="center"/>
              <w:rPr>
                <w:b/>
                <w:sz w:val="24"/>
                <w:szCs w:val="24"/>
              </w:rPr>
            </w:pPr>
            <w:r>
              <w:rPr>
                <w:b/>
                <w:sz w:val="24"/>
                <w:szCs w:val="24"/>
              </w:rPr>
              <w:t>Standards Reference</w:t>
            </w:r>
          </w:p>
        </w:tc>
      </w:tr>
      <w:tr w:rsidR="004E4BC6" w:rsidRPr="00547B79" w:rsidTr="007B14CE">
        <w:tc>
          <w:tcPr>
            <w:tcW w:w="2268" w:type="dxa"/>
            <w:gridSpan w:val="2"/>
            <w:shd w:val="clear" w:color="auto" w:fill="D9D9D9" w:themeFill="background1" w:themeFillShade="D9"/>
          </w:tcPr>
          <w:p w:rsidR="004E4BC6" w:rsidRPr="007B14CE" w:rsidRDefault="004E4BC6" w:rsidP="004E4BC6">
            <w:pPr>
              <w:jc w:val="center"/>
              <w:rPr>
                <w:b/>
                <w:sz w:val="24"/>
                <w:szCs w:val="24"/>
              </w:rPr>
            </w:pPr>
            <w:r w:rsidRPr="007B14CE">
              <w:rPr>
                <w:b/>
                <w:sz w:val="24"/>
                <w:szCs w:val="24"/>
              </w:rPr>
              <w:t>Branding</w:t>
            </w:r>
          </w:p>
        </w:tc>
        <w:tc>
          <w:tcPr>
            <w:tcW w:w="8280" w:type="dxa"/>
            <w:shd w:val="clear" w:color="auto" w:fill="D9D9D9" w:themeFill="background1" w:themeFillShade="D9"/>
          </w:tcPr>
          <w:p w:rsidR="004E4BC6" w:rsidRPr="007B14CE" w:rsidRDefault="004E4BC6" w:rsidP="004E4BC6">
            <w:pPr>
              <w:pStyle w:val="ListParagraph"/>
              <w:numPr>
                <w:ilvl w:val="0"/>
                <w:numId w:val="2"/>
              </w:numPr>
              <w:rPr>
                <w:sz w:val="24"/>
                <w:szCs w:val="24"/>
              </w:rPr>
            </w:pPr>
            <w:r w:rsidRPr="007B14CE">
              <w:rPr>
                <w:sz w:val="24"/>
                <w:szCs w:val="24"/>
              </w:rPr>
              <w:t xml:space="preserve">WorkSource Oregon (WSO) is the accepted brand for WorkSource Oregon centers.  All centers will adopt and execute this brand, in accordance with the Oregon Workforce Investment Board decisions from September 2007 and December 2008.  </w:t>
            </w:r>
          </w:p>
          <w:p w:rsidR="004E4BC6" w:rsidRPr="007B14CE" w:rsidRDefault="004E4BC6" w:rsidP="004E4BC6">
            <w:pPr>
              <w:pStyle w:val="ListParagraph"/>
              <w:numPr>
                <w:ilvl w:val="0"/>
                <w:numId w:val="2"/>
              </w:numPr>
              <w:rPr>
                <w:sz w:val="24"/>
                <w:szCs w:val="24"/>
              </w:rPr>
            </w:pPr>
            <w:r w:rsidRPr="007B14CE">
              <w:rPr>
                <w:sz w:val="24"/>
                <w:szCs w:val="24"/>
              </w:rPr>
              <w:t xml:space="preserve">Each LLT will establish protocols to ensure that physical structures are kept clean, neat, professional, and reflective of an aligned and integrated environment.  </w:t>
            </w:r>
          </w:p>
          <w:p w:rsidR="004E4BC6" w:rsidRPr="007B14CE" w:rsidRDefault="004E4BC6" w:rsidP="004E4BC6">
            <w:pPr>
              <w:pStyle w:val="ListParagraph"/>
              <w:numPr>
                <w:ilvl w:val="0"/>
                <w:numId w:val="2"/>
              </w:numPr>
              <w:rPr>
                <w:sz w:val="24"/>
                <w:szCs w:val="24"/>
              </w:rPr>
            </w:pPr>
            <w:r w:rsidRPr="007B14CE">
              <w:rPr>
                <w:sz w:val="24"/>
                <w:szCs w:val="24"/>
              </w:rPr>
              <w:t xml:space="preserve">Additionally, LLTs will develop center/local area-specific professional standards which include expectations for acceptable work apparel.  </w:t>
            </w:r>
          </w:p>
        </w:tc>
        <w:tc>
          <w:tcPr>
            <w:tcW w:w="1620" w:type="dxa"/>
          </w:tcPr>
          <w:p w:rsidR="008779AF" w:rsidRPr="007B14CE" w:rsidRDefault="007F2A6C" w:rsidP="008779AF">
            <w:pPr>
              <w:tabs>
                <w:tab w:val="left" w:pos="870"/>
              </w:tabs>
              <w:rPr>
                <w:sz w:val="24"/>
                <w:szCs w:val="24"/>
              </w:rPr>
            </w:pPr>
            <w:sdt>
              <w:sdtPr>
                <w:rPr>
                  <w:sz w:val="24"/>
                  <w:szCs w:val="24"/>
                </w:rPr>
                <w:id w:val="-1917082781"/>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Yes</w:t>
            </w:r>
          </w:p>
          <w:p w:rsidR="008779AF" w:rsidRPr="007B14CE" w:rsidRDefault="007F2A6C" w:rsidP="008779AF">
            <w:pPr>
              <w:tabs>
                <w:tab w:val="left" w:pos="870"/>
              </w:tabs>
              <w:rPr>
                <w:sz w:val="24"/>
                <w:szCs w:val="24"/>
              </w:rPr>
            </w:pPr>
            <w:sdt>
              <w:sdtPr>
                <w:rPr>
                  <w:sz w:val="24"/>
                  <w:szCs w:val="24"/>
                </w:rPr>
                <w:id w:val="2140134866"/>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In Progress</w:t>
            </w:r>
          </w:p>
          <w:p w:rsidR="004E4BC6" w:rsidRPr="007B14CE" w:rsidRDefault="007F2A6C" w:rsidP="008779AF">
            <w:pPr>
              <w:rPr>
                <w:sz w:val="24"/>
                <w:szCs w:val="24"/>
              </w:rPr>
            </w:pPr>
            <w:sdt>
              <w:sdtPr>
                <w:rPr>
                  <w:sz w:val="24"/>
                  <w:szCs w:val="24"/>
                </w:rPr>
                <w:id w:val="780846855"/>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No</w:t>
            </w:r>
          </w:p>
        </w:tc>
        <w:tc>
          <w:tcPr>
            <w:tcW w:w="2448" w:type="dxa"/>
          </w:tcPr>
          <w:p w:rsidR="0068184A" w:rsidRPr="007B14CE" w:rsidRDefault="0068184A" w:rsidP="00351A82">
            <w:pPr>
              <w:jc w:val="center"/>
              <w:rPr>
                <w:sz w:val="24"/>
                <w:szCs w:val="24"/>
              </w:rPr>
            </w:pPr>
            <w:r w:rsidRPr="007B14CE">
              <w:rPr>
                <w:sz w:val="24"/>
                <w:szCs w:val="24"/>
              </w:rPr>
              <w:t>BR1 – BR3</w:t>
            </w:r>
          </w:p>
          <w:p w:rsidR="004E4BC6" w:rsidRPr="007B14CE" w:rsidRDefault="00351A82" w:rsidP="00351A82">
            <w:pPr>
              <w:jc w:val="center"/>
              <w:rPr>
                <w:sz w:val="24"/>
                <w:szCs w:val="24"/>
              </w:rPr>
            </w:pPr>
            <w:r w:rsidRPr="007B14CE">
              <w:rPr>
                <w:sz w:val="24"/>
                <w:szCs w:val="24"/>
              </w:rPr>
              <w:t>Page 7</w:t>
            </w:r>
          </w:p>
        </w:tc>
      </w:tr>
      <w:tr w:rsidR="004E4BC6" w:rsidRPr="00547B79" w:rsidTr="007B14CE">
        <w:tc>
          <w:tcPr>
            <w:tcW w:w="2268" w:type="dxa"/>
            <w:gridSpan w:val="2"/>
            <w:shd w:val="clear" w:color="auto" w:fill="D9D9D9" w:themeFill="background1" w:themeFillShade="D9"/>
          </w:tcPr>
          <w:p w:rsidR="004E4BC6" w:rsidRPr="007B14CE" w:rsidRDefault="004E4BC6" w:rsidP="004E4BC6">
            <w:pPr>
              <w:jc w:val="center"/>
              <w:rPr>
                <w:b/>
                <w:sz w:val="24"/>
                <w:szCs w:val="24"/>
              </w:rPr>
            </w:pPr>
            <w:r w:rsidRPr="007B14CE">
              <w:rPr>
                <w:b/>
                <w:sz w:val="24"/>
                <w:szCs w:val="24"/>
              </w:rPr>
              <w:t>Technology Infrastructure</w:t>
            </w:r>
          </w:p>
        </w:tc>
        <w:tc>
          <w:tcPr>
            <w:tcW w:w="8280" w:type="dxa"/>
            <w:shd w:val="clear" w:color="auto" w:fill="D9D9D9" w:themeFill="background1" w:themeFillShade="D9"/>
          </w:tcPr>
          <w:p w:rsidR="004E4BC6" w:rsidRPr="007B14CE" w:rsidRDefault="004E4BC6" w:rsidP="004E4BC6">
            <w:pPr>
              <w:rPr>
                <w:sz w:val="24"/>
                <w:szCs w:val="24"/>
              </w:rPr>
            </w:pPr>
            <w:r w:rsidRPr="007B14CE">
              <w:rPr>
                <w:sz w:val="24"/>
                <w:szCs w:val="24"/>
              </w:rPr>
              <w:t xml:space="preserve">All WorkSource Oregon centers will maintain a standard level of technology to ensure comparable access to automated services for customers.  </w:t>
            </w:r>
          </w:p>
        </w:tc>
        <w:tc>
          <w:tcPr>
            <w:tcW w:w="1620" w:type="dxa"/>
          </w:tcPr>
          <w:p w:rsidR="008779AF" w:rsidRPr="007B14CE" w:rsidRDefault="007F2A6C" w:rsidP="008779AF">
            <w:pPr>
              <w:tabs>
                <w:tab w:val="left" w:pos="870"/>
              </w:tabs>
              <w:rPr>
                <w:sz w:val="24"/>
                <w:szCs w:val="24"/>
              </w:rPr>
            </w:pPr>
            <w:sdt>
              <w:sdtPr>
                <w:rPr>
                  <w:sz w:val="24"/>
                  <w:szCs w:val="24"/>
                </w:rPr>
                <w:id w:val="197052096"/>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Yes</w:t>
            </w:r>
          </w:p>
          <w:p w:rsidR="008779AF" w:rsidRPr="007B14CE" w:rsidRDefault="007F2A6C" w:rsidP="008779AF">
            <w:pPr>
              <w:tabs>
                <w:tab w:val="left" w:pos="870"/>
              </w:tabs>
              <w:rPr>
                <w:sz w:val="24"/>
                <w:szCs w:val="24"/>
              </w:rPr>
            </w:pPr>
            <w:sdt>
              <w:sdtPr>
                <w:rPr>
                  <w:sz w:val="24"/>
                  <w:szCs w:val="24"/>
                </w:rPr>
                <w:id w:val="505256210"/>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In Progress</w:t>
            </w:r>
          </w:p>
          <w:p w:rsidR="004E4BC6" w:rsidRPr="007B14CE" w:rsidRDefault="007F2A6C" w:rsidP="008779AF">
            <w:pPr>
              <w:rPr>
                <w:sz w:val="24"/>
                <w:szCs w:val="24"/>
              </w:rPr>
            </w:pPr>
            <w:sdt>
              <w:sdtPr>
                <w:rPr>
                  <w:sz w:val="24"/>
                  <w:szCs w:val="24"/>
                </w:rPr>
                <w:id w:val="-1224902406"/>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No</w:t>
            </w:r>
          </w:p>
        </w:tc>
        <w:tc>
          <w:tcPr>
            <w:tcW w:w="2448" w:type="dxa"/>
          </w:tcPr>
          <w:p w:rsidR="0068184A" w:rsidRPr="007B14CE" w:rsidRDefault="0068184A" w:rsidP="00351A82">
            <w:pPr>
              <w:jc w:val="center"/>
              <w:rPr>
                <w:sz w:val="24"/>
                <w:szCs w:val="24"/>
              </w:rPr>
            </w:pPr>
            <w:r w:rsidRPr="007B14CE">
              <w:rPr>
                <w:sz w:val="24"/>
                <w:szCs w:val="24"/>
              </w:rPr>
              <w:t>N/A</w:t>
            </w:r>
          </w:p>
          <w:p w:rsidR="004E4BC6" w:rsidRPr="007B14CE" w:rsidRDefault="00351A82" w:rsidP="00351A82">
            <w:pPr>
              <w:jc w:val="center"/>
              <w:rPr>
                <w:sz w:val="24"/>
                <w:szCs w:val="24"/>
              </w:rPr>
            </w:pPr>
            <w:r w:rsidRPr="007B14CE">
              <w:rPr>
                <w:sz w:val="24"/>
                <w:szCs w:val="24"/>
              </w:rPr>
              <w:t>Page 8</w:t>
            </w:r>
          </w:p>
        </w:tc>
      </w:tr>
      <w:tr w:rsidR="004E4BC6" w:rsidRPr="00547B79" w:rsidTr="007B14CE">
        <w:tc>
          <w:tcPr>
            <w:tcW w:w="2268" w:type="dxa"/>
            <w:gridSpan w:val="2"/>
            <w:shd w:val="clear" w:color="auto" w:fill="D6E3BC" w:themeFill="accent3" w:themeFillTint="66"/>
          </w:tcPr>
          <w:p w:rsidR="004E4BC6" w:rsidRPr="007B14CE" w:rsidRDefault="003728EC" w:rsidP="004E4BC6">
            <w:pPr>
              <w:jc w:val="center"/>
              <w:rPr>
                <w:b/>
                <w:sz w:val="24"/>
                <w:szCs w:val="24"/>
              </w:rPr>
            </w:pPr>
            <w:r w:rsidRPr="007B14CE">
              <w:rPr>
                <w:b/>
                <w:sz w:val="24"/>
                <w:szCs w:val="24"/>
              </w:rPr>
              <w:t>Local Leadership Team</w:t>
            </w:r>
          </w:p>
        </w:tc>
        <w:tc>
          <w:tcPr>
            <w:tcW w:w="8280" w:type="dxa"/>
            <w:shd w:val="clear" w:color="auto" w:fill="D6E3BC" w:themeFill="accent3" w:themeFillTint="66"/>
          </w:tcPr>
          <w:p w:rsidR="004E4BC6" w:rsidRPr="007B14CE" w:rsidRDefault="00B870F8" w:rsidP="004E4BC6">
            <w:pPr>
              <w:rPr>
                <w:sz w:val="24"/>
                <w:szCs w:val="24"/>
              </w:rPr>
            </w:pPr>
            <w:r w:rsidRPr="007B14CE">
              <w:rPr>
                <w:sz w:val="24"/>
                <w:szCs w:val="24"/>
              </w:rPr>
              <w:t xml:space="preserve">LLTs may consist of local board staff (conveners), OED Managers, Center Managers, contracted service provider management and staff, and representatives from engaged partners and stakeholders such as the Department of Human Services, Vocational Rehabilitation, community colleges, or Temporary Assistance for Needy Families (TANF).  </w:t>
            </w:r>
          </w:p>
        </w:tc>
        <w:tc>
          <w:tcPr>
            <w:tcW w:w="1620" w:type="dxa"/>
          </w:tcPr>
          <w:p w:rsidR="008779AF" w:rsidRPr="007B14CE" w:rsidRDefault="007F2A6C" w:rsidP="008779AF">
            <w:pPr>
              <w:tabs>
                <w:tab w:val="left" w:pos="870"/>
              </w:tabs>
              <w:rPr>
                <w:sz w:val="24"/>
                <w:szCs w:val="24"/>
              </w:rPr>
            </w:pPr>
            <w:sdt>
              <w:sdtPr>
                <w:rPr>
                  <w:sz w:val="24"/>
                  <w:szCs w:val="24"/>
                </w:rPr>
                <w:id w:val="-126165645"/>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Yes</w:t>
            </w:r>
          </w:p>
          <w:p w:rsidR="008779AF" w:rsidRPr="007B14CE" w:rsidRDefault="007F2A6C" w:rsidP="008779AF">
            <w:pPr>
              <w:tabs>
                <w:tab w:val="left" w:pos="870"/>
              </w:tabs>
              <w:rPr>
                <w:sz w:val="24"/>
                <w:szCs w:val="24"/>
              </w:rPr>
            </w:pPr>
            <w:sdt>
              <w:sdtPr>
                <w:rPr>
                  <w:sz w:val="24"/>
                  <w:szCs w:val="24"/>
                </w:rPr>
                <w:id w:val="-407462320"/>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In Progress</w:t>
            </w:r>
          </w:p>
          <w:p w:rsidR="00B870F8" w:rsidRPr="007B14CE" w:rsidRDefault="007F2A6C" w:rsidP="008779AF">
            <w:pPr>
              <w:rPr>
                <w:sz w:val="24"/>
                <w:szCs w:val="24"/>
              </w:rPr>
            </w:pPr>
            <w:sdt>
              <w:sdtPr>
                <w:rPr>
                  <w:sz w:val="24"/>
                  <w:szCs w:val="24"/>
                </w:rPr>
                <w:id w:val="-760449881"/>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No</w:t>
            </w:r>
          </w:p>
        </w:tc>
        <w:tc>
          <w:tcPr>
            <w:tcW w:w="2448" w:type="dxa"/>
          </w:tcPr>
          <w:p w:rsidR="0068184A" w:rsidRPr="007B14CE" w:rsidRDefault="0068184A" w:rsidP="00351A82">
            <w:pPr>
              <w:jc w:val="center"/>
              <w:rPr>
                <w:sz w:val="24"/>
                <w:szCs w:val="24"/>
              </w:rPr>
            </w:pPr>
            <w:r w:rsidRPr="007B14CE">
              <w:rPr>
                <w:sz w:val="24"/>
                <w:szCs w:val="24"/>
              </w:rPr>
              <w:t>N/A</w:t>
            </w:r>
          </w:p>
          <w:p w:rsidR="004E4BC6" w:rsidRPr="007B14CE" w:rsidRDefault="003701D1" w:rsidP="00351A82">
            <w:pPr>
              <w:jc w:val="center"/>
              <w:rPr>
                <w:sz w:val="24"/>
                <w:szCs w:val="24"/>
              </w:rPr>
            </w:pPr>
            <w:r w:rsidRPr="007B14CE">
              <w:rPr>
                <w:sz w:val="24"/>
                <w:szCs w:val="24"/>
              </w:rPr>
              <w:t>Pages 5-</w:t>
            </w:r>
            <w:r w:rsidR="00351A82" w:rsidRPr="007B14CE">
              <w:rPr>
                <w:sz w:val="24"/>
                <w:szCs w:val="24"/>
              </w:rPr>
              <w:t>6</w:t>
            </w:r>
          </w:p>
        </w:tc>
      </w:tr>
      <w:tr w:rsidR="004E4BC6" w:rsidRPr="00547B79" w:rsidTr="007B14CE">
        <w:tc>
          <w:tcPr>
            <w:tcW w:w="2268" w:type="dxa"/>
            <w:gridSpan w:val="2"/>
            <w:shd w:val="clear" w:color="auto" w:fill="D6E3BC" w:themeFill="accent3" w:themeFillTint="66"/>
          </w:tcPr>
          <w:p w:rsidR="004E4BC6" w:rsidRPr="007B14CE" w:rsidRDefault="003728EC" w:rsidP="004E4BC6">
            <w:pPr>
              <w:jc w:val="center"/>
              <w:rPr>
                <w:b/>
                <w:sz w:val="24"/>
                <w:szCs w:val="24"/>
              </w:rPr>
            </w:pPr>
            <w:r w:rsidRPr="007B14CE">
              <w:rPr>
                <w:b/>
                <w:sz w:val="24"/>
                <w:szCs w:val="24"/>
              </w:rPr>
              <w:t>Four Services</w:t>
            </w:r>
          </w:p>
          <w:p w:rsidR="00B870F8" w:rsidRPr="007B14CE" w:rsidRDefault="00B870F8" w:rsidP="00B870F8">
            <w:pPr>
              <w:pStyle w:val="ListParagraph"/>
              <w:numPr>
                <w:ilvl w:val="0"/>
                <w:numId w:val="3"/>
              </w:numPr>
              <w:rPr>
                <w:i/>
                <w:sz w:val="24"/>
                <w:szCs w:val="24"/>
              </w:rPr>
            </w:pPr>
            <w:r w:rsidRPr="007B14CE">
              <w:rPr>
                <w:i/>
                <w:sz w:val="24"/>
                <w:szCs w:val="24"/>
              </w:rPr>
              <w:t>Exploratory</w:t>
            </w:r>
          </w:p>
          <w:p w:rsidR="00B870F8" w:rsidRPr="007B14CE" w:rsidRDefault="00B870F8" w:rsidP="00B870F8">
            <w:pPr>
              <w:pStyle w:val="ListParagraph"/>
              <w:numPr>
                <w:ilvl w:val="0"/>
                <w:numId w:val="3"/>
              </w:numPr>
              <w:rPr>
                <w:i/>
                <w:sz w:val="24"/>
                <w:szCs w:val="24"/>
              </w:rPr>
            </w:pPr>
            <w:r w:rsidRPr="007B14CE">
              <w:rPr>
                <w:i/>
                <w:sz w:val="24"/>
                <w:szCs w:val="24"/>
              </w:rPr>
              <w:t>Career</w:t>
            </w:r>
          </w:p>
          <w:p w:rsidR="00B870F8" w:rsidRPr="007B14CE" w:rsidRDefault="00B870F8" w:rsidP="00B870F8">
            <w:pPr>
              <w:pStyle w:val="ListParagraph"/>
              <w:numPr>
                <w:ilvl w:val="0"/>
                <w:numId w:val="3"/>
              </w:numPr>
              <w:rPr>
                <w:i/>
                <w:sz w:val="24"/>
                <w:szCs w:val="24"/>
              </w:rPr>
            </w:pPr>
            <w:r w:rsidRPr="007B14CE">
              <w:rPr>
                <w:i/>
                <w:sz w:val="24"/>
                <w:szCs w:val="24"/>
              </w:rPr>
              <w:t>Training</w:t>
            </w:r>
          </w:p>
          <w:p w:rsidR="00B870F8" w:rsidRPr="007B14CE" w:rsidRDefault="00B870F8" w:rsidP="00B870F8">
            <w:pPr>
              <w:pStyle w:val="ListParagraph"/>
              <w:numPr>
                <w:ilvl w:val="0"/>
                <w:numId w:val="3"/>
              </w:numPr>
              <w:rPr>
                <w:b/>
                <w:sz w:val="24"/>
                <w:szCs w:val="24"/>
              </w:rPr>
            </w:pPr>
            <w:r w:rsidRPr="007B14CE">
              <w:rPr>
                <w:i/>
                <w:sz w:val="24"/>
                <w:szCs w:val="24"/>
              </w:rPr>
              <w:t>Business</w:t>
            </w:r>
          </w:p>
        </w:tc>
        <w:tc>
          <w:tcPr>
            <w:tcW w:w="8280" w:type="dxa"/>
            <w:shd w:val="clear" w:color="auto" w:fill="D6E3BC" w:themeFill="accent3" w:themeFillTint="66"/>
          </w:tcPr>
          <w:p w:rsidR="004E4BC6" w:rsidRPr="007B14CE" w:rsidRDefault="00B870F8" w:rsidP="00B870F8">
            <w:pPr>
              <w:rPr>
                <w:sz w:val="24"/>
                <w:szCs w:val="24"/>
              </w:rPr>
            </w:pPr>
            <w:r w:rsidRPr="007B14CE">
              <w:rPr>
                <w:sz w:val="24"/>
                <w:szCs w:val="24"/>
              </w:rPr>
              <w:t xml:space="preserve">Services provided through the WSO centers will be customer-centered to ensure value to each customer experience as close to the front of the customer flow as possible and at each point along the continuum of services.  Rather, there are Career Services, Training Services and Business Services which may be accessed at any time based on customer needs.  </w:t>
            </w:r>
          </w:p>
        </w:tc>
        <w:tc>
          <w:tcPr>
            <w:tcW w:w="1620" w:type="dxa"/>
          </w:tcPr>
          <w:p w:rsidR="008779AF" w:rsidRPr="007B14CE" w:rsidRDefault="007F2A6C" w:rsidP="008779AF">
            <w:pPr>
              <w:tabs>
                <w:tab w:val="left" w:pos="870"/>
              </w:tabs>
              <w:rPr>
                <w:sz w:val="24"/>
                <w:szCs w:val="24"/>
              </w:rPr>
            </w:pPr>
            <w:sdt>
              <w:sdtPr>
                <w:rPr>
                  <w:sz w:val="24"/>
                  <w:szCs w:val="24"/>
                </w:rPr>
                <w:id w:val="-622456287"/>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Yes</w:t>
            </w:r>
          </w:p>
          <w:p w:rsidR="008779AF" w:rsidRPr="007B14CE" w:rsidRDefault="007F2A6C" w:rsidP="008779AF">
            <w:pPr>
              <w:tabs>
                <w:tab w:val="left" w:pos="870"/>
              </w:tabs>
              <w:rPr>
                <w:sz w:val="24"/>
                <w:szCs w:val="24"/>
              </w:rPr>
            </w:pPr>
            <w:sdt>
              <w:sdtPr>
                <w:rPr>
                  <w:sz w:val="24"/>
                  <w:szCs w:val="24"/>
                </w:rPr>
                <w:id w:val="-841849231"/>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In Progress</w:t>
            </w:r>
          </w:p>
          <w:p w:rsidR="00B870F8" w:rsidRPr="007B14CE" w:rsidRDefault="007F2A6C" w:rsidP="008779AF">
            <w:pPr>
              <w:rPr>
                <w:sz w:val="24"/>
                <w:szCs w:val="24"/>
              </w:rPr>
            </w:pPr>
            <w:sdt>
              <w:sdtPr>
                <w:rPr>
                  <w:sz w:val="24"/>
                  <w:szCs w:val="24"/>
                </w:rPr>
                <w:id w:val="1211003481"/>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No</w:t>
            </w:r>
          </w:p>
        </w:tc>
        <w:tc>
          <w:tcPr>
            <w:tcW w:w="2448" w:type="dxa"/>
          </w:tcPr>
          <w:p w:rsidR="0068184A" w:rsidRPr="007B14CE" w:rsidRDefault="0068184A" w:rsidP="00351A82">
            <w:pPr>
              <w:jc w:val="center"/>
              <w:rPr>
                <w:sz w:val="24"/>
                <w:szCs w:val="24"/>
              </w:rPr>
            </w:pPr>
            <w:r w:rsidRPr="007B14CE">
              <w:rPr>
                <w:sz w:val="24"/>
                <w:szCs w:val="24"/>
              </w:rPr>
              <w:t>E2 – E12</w:t>
            </w:r>
          </w:p>
          <w:p w:rsidR="0068184A" w:rsidRPr="007B14CE" w:rsidRDefault="0068184A" w:rsidP="00351A82">
            <w:pPr>
              <w:jc w:val="center"/>
              <w:rPr>
                <w:sz w:val="24"/>
                <w:szCs w:val="24"/>
              </w:rPr>
            </w:pPr>
            <w:r w:rsidRPr="007B14CE">
              <w:rPr>
                <w:sz w:val="24"/>
                <w:szCs w:val="24"/>
              </w:rPr>
              <w:t>C1 – C18</w:t>
            </w:r>
          </w:p>
          <w:p w:rsidR="0068184A" w:rsidRPr="007B14CE" w:rsidRDefault="0068184A" w:rsidP="00351A82">
            <w:pPr>
              <w:jc w:val="center"/>
              <w:rPr>
                <w:sz w:val="24"/>
                <w:szCs w:val="24"/>
              </w:rPr>
            </w:pPr>
            <w:r w:rsidRPr="007B14CE">
              <w:rPr>
                <w:sz w:val="24"/>
                <w:szCs w:val="24"/>
              </w:rPr>
              <w:t>T1 – T18</w:t>
            </w:r>
          </w:p>
          <w:p w:rsidR="004E4BC6" w:rsidRPr="007B14CE" w:rsidRDefault="0068184A" w:rsidP="00351A82">
            <w:pPr>
              <w:jc w:val="center"/>
              <w:rPr>
                <w:sz w:val="24"/>
                <w:szCs w:val="24"/>
              </w:rPr>
            </w:pPr>
            <w:r w:rsidRPr="007B14CE">
              <w:rPr>
                <w:sz w:val="24"/>
                <w:szCs w:val="24"/>
              </w:rPr>
              <w:t>B1 – B16</w:t>
            </w:r>
            <w:r w:rsidRPr="007B14CE">
              <w:rPr>
                <w:sz w:val="24"/>
                <w:szCs w:val="24"/>
              </w:rPr>
              <w:br/>
            </w:r>
            <w:r w:rsidR="00351A82" w:rsidRPr="007B14CE">
              <w:rPr>
                <w:sz w:val="24"/>
                <w:szCs w:val="24"/>
              </w:rPr>
              <w:t>Pages 8-16</w:t>
            </w:r>
          </w:p>
        </w:tc>
      </w:tr>
      <w:tr w:rsidR="006B2365" w:rsidRPr="00547B79" w:rsidTr="007B14CE">
        <w:tc>
          <w:tcPr>
            <w:tcW w:w="2268" w:type="dxa"/>
            <w:gridSpan w:val="2"/>
            <w:shd w:val="clear" w:color="auto" w:fill="D6E3BC" w:themeFill="accent3" w:themeFillTint="66"/>
          </w:tcPr>
          <w:p w:rsidR="006B2365" w:rsidRPr="007B14CE" w:rsidRDefault="006B2365" w:rsidP="004E4BC6">
            <w:pPr>
              <w:jc w:val="center"/>
              <w:rPr>
                <w:b/>
                <w:sz w:val="24"/>
                <w:szCs w:val="24"/>
              </w:rPr>
            </w:pPr>
            <w:r w:rsidRPr="007B14CE">
              <w:rPr>
                <w:b/>
                <w:sz w:val="24"/>
                <w:szCs w:val="24"/>
              </w:rPr>
              <w:t>Labor Market Information</w:t>
            </w:r>
          </w:p>
        </w:tc>
        <w:tc>
          <w:tcPr>
            <w:tcW w:w="8280" w:type="dxa"/>
            <w:shd w:val="clear" w:color="auto" w:fill="D6E3BC" w:themeFill="accent3" w:themeFillTint="66"/>
          </w:tcPr>
          <w:p w:rsidR="006B2365" w:rsidRPr="007B14CE" w:rsidRDefault="006B2365" w:rsidP="004E4BC6">
            <w:pPr>
              <w:rPr>
                <w:sz w:val="24"/>
                <w:szCs w:val="24"/>
              </w:rPr>
            </w:pPr>
            <w:r w:rsidRPr="007B14CE">
              <w:rPr>
                <w:sz w:val="24"/>
                <w:szCs w:val="24"/>
              </w:rPr>
              <w:t xml:space="preserve">Labor Market Information will inform sector strategies, career planning, training decisions, business engagement and placement services.  </w:t>
            </w:r>
          </w:p>
        </w:tc>
        <w:tc>
          <w:tcPr>
            <w:tcW w:w="1620" w:type="dxa"/>
          </w:tcPr>
          <w:p w:rsidR="008779AF" w:rsidRPr="007B14CE" w:rsidRDefault="007F2A6C" w:rsidP="008779AF">
            <w:pPr>
              <w:tabs>
                <w:tab w:val="left" w:pos="870"/>
              </w:tabs>
              <w:rPr>
                <w:sz w:val="24"/>
                <w:szCs w:val="24"/>
              </w:rPr>
            </w:pPr>
            <w:sdt>
              <w:sdtPr>
                <w:rPr>
                  <w:sz w:val="24"/>
                  <w:szCs w:val="24"/>
                </w:rPr>
                <w:id w:val="1225655563"/>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Yes</w:t>
            </w:r>
          </w:p>
          <w:p w:rsidR="008779AF" w:rsidRPr="007B14CE" w:rsidRDefault="007F2A6C" w:rsidP="008779AF">
            <w:pPr>
              <w:tabs>
                <w:tab w:val="left" w:pos="870"/>
              </w:tabs>
              <w:rPr>
                <w:sz w:val="24"/>
                <w:szCs w:val="24"/>
              </w:rPr>
            </w:pPr>
            <w:sdt>
              <w:sdtPr>
                <w:rPr>
                  <w:sz w:val="24"/>
                  <w:szCs w:val="24"/>
                </w:rPr>
                <w:id w:val="-1123617618"/>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In Progress</w:t>
            </w:r>
          </w:p>
          <w:p w:rsidR="006B2365" w:rsidRPr="007B14CE" w:rsidRDefault="007F2A6C" w:rsidP="008779AF">
            <w:pPr>
              <w:rPr>
                <w:sz w:val="24"/>
                <w:szCs w:val="24"/>
              </w:rPr>
            </w:pPr>
            <w:sdt>
              <w:sdtPr>
                <w:rPr>
                  <w:sz w:val="24"/>
                  <w:szCs w:val="24"/>
                </w:rPr>
                <w:id w:val="465396937"/>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No</w:t>
            </w:r>
          </w:p>
        </w:tc>
        <w:tc>
          <w:tcPr>
            <w:tcW w:w="2448" w:type="dxa"/>
          </w:tcPr>
          <w:p w:rsidR="0068184A" w:rsidRPr="007B14CE" w:rsidRDefault="0068184A" w:rsidP="00351A82">
            <w:pPr>
              <w:jc w:val="center"/>
              <w:rPr>
                <w:sz w:val="24"/>
                <w:szCs w:val="24"/>
              </w:rPr>
            </w:pPr>
            <w:r w:rsidRPr="007B14CE">
              <w:rPr>
                <w:sz w:val="24"/>
                <w:szCs w:val="24"/>
              </w:rPr>
              <w:t>LMI 1- LMI 3</w:t>
            </w:r>
          </w:p>
          <w:p w:rsidR="006B2365" w:rsidRPr="007B14CE" w:rsidRDefault="006B2365" w:rsidP="00351A82">
            <w:pPr>
              <w:jc w:val="center"/>
              <w:rPr>
                <w:sz w:val="24"/>
                <w:szCs w:val="24"/>
              </w:rPr>
            </w:pPr>
            <w:r w:rsidRPr="007B14CE">
              <w:rPr>
                <w:sz w:val="24"/>
                <w:szCs w:val="24"/>
              </w:rPr>
              <w:t>Pages 8, 26</w:t>
            </w:r>
          </w:p>
        </w:tc>
      </w:tr>
    </w:tbl>
    <w:p w:rsidR="007B14CE" w:rsidRDefault="007B14CE">
      <w:r>
        <w:br w:type="page"/>
      </w:r>
    </w:p>
    <w:tbl>
      <w:tblPr>
        <w:tblStyle w:val="TableGrid"/>
        <w:tblW w:w="0" w:type="auto"/>
        <w:tblLayout w:type="fixed"/>
        <w:tblLook w:val="04A0" w:firstRow="1" w:lastRow="0" w:firstColumn="1" w:lastColumn="0" w:noHBand="0" w:noVBand="1"/>
      </w:tblPr>
      <w:tblGrid>
        <w:gridCol w:w="2268"/>
        <w:gridCol w:w="8280"/>
        <w:gridCol w:w="1620"/>
        <w:gridCol w:w="2448"/>
      </w:tblGrid>
      <w:tr w:rsidR="007B14CE" w:rsidRPr="004E4BC6" w:rsidTr="000B059A">
        <w:tc>
          <w:tcPr>
            <w:tcW w:w="2268" w:type="dxa"/>
            <w:shd w:val="clear" w:color="auto" w:fill="000000" w:themeFill="text1"/>
          </w:tcPr>
          <w:p w:rsidR="007B14CE" w:rsidRPr="004E4BC6" w:rsidRDefault="007B14CE" w:rsidP="000B059A">
            <w:pPr>
              <w:jc w:val="center"/>
              <w:rPr>
                <w:b/>
                <w:sz w:val="24"/>
                <w:szCs w:val="24"/>
              </w:rPr>
            </w:pPr>
            <w:r w:rsidRPr="004E4BC6">
              <w:rPr>
                <w:b/>
                <w:sz w:val="24"/>
                <w:szCs w:val="24"/>
              </w:rPr>
              <w:lastRenderedPageBreak/>
              <w:t>Standard</w:t>
            </w:r>
          </w:p>
        </w:tc>
        <w:tc>
          <w:tcPr>
            <w:tcW w:w="8280" w:type="dxa"/>
            <w:shd w:val="clear" w:color="auto" w:fill="000000" w:themeFill="text1"/>
          </w:tcPr>
          <w:p w:rsidR="007B14CE" w:rsidRPr="004E4BC6" w:rsidRDefault="007B14CE" w:rsidP="000B059A">
            <w:pPr>
              <w:jc w:val="center"/>
              <w:rPr>
                <w:b/>
                <w:sz w:val="24"/>
                <w:szCs w:val="24"/>
              </w:rPr>
            </w:pPr>
            <w:r w:rsidRPr="004E4BC6">
              <w:rPr>
                <w:b/>
                <w:sz w:val="24"/>
                <w:szCs w:val="24"/>
              </w:rPr>
              <w:t>Definition</w:t>
            </w:r>
          </w:p>
        </w:tc>
        <w:tc>
          <w:tcPr>
            <w:tcW w:w="1620" w:type="dxa"/>
            <w:shd w:val="clear" w:color="auto" w:fill="000000" w:themeFill="text1"/>
          </w:tcPr>
          <w:p w:rsidR="007B14CE" w:rsidRPr="004E4BC6" w:rsidRDefault="007B14CE" w:rsidP="000B059A">
            <w:pPr>
              <w:jc w:val="center"/>
              <w:rPr>
                <w:b/>
                <w:sz w:val="24"/>
                <w:szCs w:val="24"/>
              </w:rPr>
            </w:pPr>
            <w:r>
              <w:rPr>
                <w:b/>
                <w:sz w:val="24"/>
                <w:szCs w:val="24"/>
              </w:rPr>
              <w:t>Update</w:t>
            </w:r>
          </w:p>
        </w:tc>
        <w:tc>
          <w:tcPr>
            <w:tcW w:w="2448" w:type="dxa"/>
            <w:shd w:val="clear" w:color="auto" w:fill="000000" w:themeFill="text1"/>
          </w:tcPr>
          <w:p w:rsidR="007B14CE" w:rsidRPr="004E4BC6" w:rsidRDefault="007B14CE" w:rsidP="000B059A">
            <w:pPr>
              <w:jc w:val="center"/>
              <w:rPr>
                <w:b/>
                <w:sz w:val="24"/>
                <w:szCs w:val="24"/>
              </w:rPr>
            </w:pPr>
            <w:r>
              <w:rPr>
                <w:b/>
                <w:sz w:val="24"/>
                <w:szCs w:val="24"/>
              </w:rPr>
              <w:t>Standards Reference</w:t>
            </w:r>
          </w:p>
        </w:tc>
      </w:tr>
      <w:tr w:rsidR="004E4BC6" w:rsidRPr="00547B79" w:rsidTr="007B14CE">
        <w:tc>
          <w:tcPr>
            <w:tcW w:w="2268" w:type="dxa"/>
            <w:shd w:val="clear" w:color="auto" w:fill="D6E3BC" w:themeFill="accent3" w:themeFillTint="66"/>
          </w:tcPr>
          <w:p w:rsidR="004E4BC6" w:rsidRPr="007B14CE" w:rsidRDefault="003728EC" w:rsidP="004E4BC6">
            <w:pPr>
              <w:jc w:val="center"/>
              <w:rPr>
                <w:b/>
                <w:sz w:val="24"/>
                <w:szCs w:val="24"/>
              </w:rPr>
            </w:pPr>
            <w:r w:rsidRPr="007B14CE">
              <w:rPr>
                <w:b/>
                <w:sz w:val="24"/>
                <w:szCs w:val="24"/>
              </w:rPr>
              <w:t>Continuity of Service</w:t>
            </w:r>
          </w:p>
        </w:tc>
        <w:tc>
          <w:tcPr>
            <w:tcW w:w="8280" w:type="dxa"/>
            <w:shd w:val="clear" w:color="auto" w:fill="D6E3BC" w:themeFill="accent3" w:themeFillTint="66"/>
          </w:tcPr>
          <w:p w:rsidR="004E4BC6" w:rsidRPr="007B14CE" w:rsidRDefault="00AA5B8F" w:rsidP="004E4BC6">
            <w:pPr>
              <w:rPr>
                <w:sz w:val="24"/>
                <w:szCs w:val="24"/>
              </w:rPr>
            </w:pPr>
            <w:r w:rsidRPr="007B14CE">
              <w:rPr>
                <w:sz w:val="24"/>
                <w:szCs w:val="24"/>
              </w:rPr>
              <w:t>The goal is to provide the best customer-focused service possible through a continuity of services that are not dependent upon a customer returning to the same staff person.  Any WSO staff person is expected to be able to pick up where another staff left off at the previous customer engagement.</w:t>
            </w:r>
          </w:p>
        </w:tc>
        <w:tc>
          <w:tcPr>
            <w:tcW w:w="1620" w:type="dxa"/>
          </w:tcPr>
          <w:p w:rsidR="008779AF" w:rsidRPr="007B14CE" w:rsidRDefault="007F2A6C" w:rsidP="008779AF">
            <w:pPr>
              <w:tabs>
                <w:tab w:val="left" w:pos="870"/>
              </w:tabs>
              <w:rPr>
                <w:sz w:val="24"/>
                <w:szCs w:val="24"/>
              </w:rPr>
            </w:pPr>
            <w:sdt>
              <w:sdtPr>
                <w:rPr>
                  <w:sz w:val="24"/>
                  <w:szCs w:val="24"/>
                </w:rPr>
                <w:id w:val="-659460337"/>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Yes</w:t>
            </w:r>
          </w:p>
          <w:p w:rsidR="008779AF" w:rsidRPr="007B14CE" w:rsidRDefault="007F2A6C" w:rsidP="008779AF">
            <w:pPr>
              <w:tabs>
                <w:tab w:val="left" w:pos="870"/>
              </w:tabs>
              <w:rPr>
                <w:sz w:val="24"/>
                <w:szCs w:val="24"/>
              </w:rPr>
            </w:pPr>
            <w:sdt>
              <w:sdtPr>
                <w:rPr>
                  <w:sz w:val="24"/>
                  <w:szCs w:val="24"/>
                </w:rPr>
                <w:id w:val="-298002100"/>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In Progress</w:t>
            </w:r>
          </w:p>
          <w:p w:rsidR="00AA5B8F" w:rsidRPr="007B14CE" w:rsidRDefault="007F2A6C" w:rsidP="008779AF">
            <w:pPr>
              <w:rPr>
                <w:sz w:val="24"/>
                <w:szCs w:val="24"/>
              </w:rPr>
            </w:pPr>
            <w:sdt>
              <w:sdtPr>
                <w:rPr>
                  <w:sz w:val="24"/>
                  <w:szCs w:val="24"/>
                </w:rPr>
                <w:id w:val="-1526020704"/>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No</w:t>
            </w:r>
          </w:p>
        </w:tc>
        <w:tc>
          <w:tcPr>
            <w:tcW w:w="2448" w:type="dxa"/>
          </w:tcPr>
          <w:p w:rsidR="0068184A" w:rsidRPr="007B14CE" w:rsidRDefault="0068184A" w:rsidP="00351A82">
            <w:pPr>
              <w:jc w:val="center"/>
              <w:rPr>
                <w:sz w:val="24"/>
                <w:szCs w:val="24"/>
              </w:rPr>
            </w:pPr>
            <w:r w:rsidRPr="007B14CE">
              <w:rPr>
                <w:sz w:val="24"/>
                <w:szCs w:val="24"/>
              </w:rPr>
              <w:t>COS 1</w:t>
            </w:r>
          </w:p>
          <w:p w:rsidR="004E4BC6" w:rsidRPr="007B14CE" w:rsidRDefault="00351A82" w:rsidP="00351A82">
            <w:pPr>
              <w:jc w:val="center"/>
              <w:rPr>
                <w:sz w:val="24"/>
                <w:szCs w:val="24"/>
              </w:rPr>
            </w:pPr>
            <w:r w:rsidRPr="007B14CE">
              <w:rPr>
                <w:sz w:val="24"/>
                <w:szCs w:val="24"/>
              </w:rPr>
              <w:t>Page 26</w:t>
            </w:r>
          </w:p>
        </w:tc>
      </w:tr>
      <w:tr w:rsidR="00B870F8" w:rsidRPr="00547B79" w:rsidTr="007B14CE">
        <w:tc>
          <w:tcPr>
            <w:tcW w:w="2268" w:type="dxa"/>
            <w:shd w:val="clear" w:color="auto" w:fill="D6E3BC" w:themeFill="accent3" w:themeFillTint="66"/>
          </w:tcPr>
          <w:p w:rsidR="00B870F8" w:rsidRPr="007B14CE" w:rsidRDefault="00946F3D" w:rsidP="00F35C55">
            <w:pPr>
              <w:jc w:val="center"/>
              <w:rPr>
                <w:b/>
                <w:sz w:val="24"/>
                <w:szCs w:val="24"/>
              </w:rPr>
            </w:pPr>
            <w:r w:rsidRPr="007B14CE">
              <w:rPr>
                <w:b/>
                <w:sz w:val="24"/>
                <w:szCs w:val="24"/>
              </w:rPr>
              <w:t>Work</w:t>
            </w:r>
            <w:r w:rsidR="00AA5B8F" w:rsidRPr="007B14CE">
              <w:rPr>
                <w:b/>
                <w:sz w:val="24"/>
                <w:szCs w:val="24"/>
              </w:rPr>
              <w:t>-Ready Criteria</w:t>
            </w:r>
          </w:p>
        </w:tc>
        <w:tc>
          <w:tcPr>
            <w:tcW w:w="8280" w:type="dxa"/>
            <w:shd w:val="clear" w:color="auto" w:fill="D6E3BC" w:themeFill="accent3" w:themeFillTint="66"/>
          </w:tcPr>
          <w:p w:rsidR="00E435CE" w:rsidRPr="007B14CE" w:rsidRDefault="00946F3D" w:rsidP="00F35C55">
            <w:pPr>
              <w:rPr>
                <w:sz w:val="24"/>
                <w:szCs w:val="24"/>
              </w:rPr>
            </w:pPr>
            <w:r w:rsidRPr="007B14CE">
              <w:rPr>
                <w:sz w:val="24"/>
                <w:szCs w:val="24"/>
              </w:rPr>
              <w:t xml:space="preserve">Customers will be designated as Work Ready once assessed by staff that they have: a general resume, demonstrated soft skills, demonstrated interview skills, addressed barriers to employment, acquired necessary application information and materials, networking/social media and basic computer skills appropriate for their career goals.  </w:t>
            </w:r>
          </w:p>
        </w:tc>
        <w:tc>
          <w:tcPr>
            <w:tcW w:w="1620" w:type="dxa"/>
          </w:tcPr>
          <w:p w:rsidR="008779AF" w:rsidRPr="007B14CE" w:rsidRDefault="007F2A6C" w:rsidP="008779AF">
            <w:pPr>
              <w:tabs>
                <w:tab w:val="left" w:pos="870"/>
              </w:tabs>
              <w:rPr>
                <w:sz w:val="24"/>
                <w:szCs w:val="24"/>
              </w:rPr>
            </w:pPr>
            <w:sdt>
              <w:sdtPr>
                <w:rPr>
                  <w:sz w:val="24"/>
                  <w:szCs w:val="24"/>
                </w:rPr>
                <w:id w:val="328326952"/>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Yes</w:t>
            </w:r>
          </w:p>
          <w:p w:rsidR="008779AF" w:rsidRPr="007B14CE" w:rsidRDefault="007F2A6C" w:rsidP="008779AF">
            <w:pPr>
              <w:tabs>
                <w:tab w:val="left" w:pos="870"/>
              </w:tabs>
              <w:rPr>
                <w:sz w:val="24"/>
                <w:szCs w:val="24"/>
              </w:rPr>
            </w:pPr>
            <w:sdt>
              <w:sdtPr>
                <w:rPr>
                  <w:sz w:val="24"/>
                  <w:szCs w:val="24"/>
                </w:rPr>
                <w:id w:val="1734580847"/>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In Progress</w:t>
            </w:r>
          </w:p>
          <w:p w:rsidR="00C276EB" w:rsidRPr="007B14CE" w:rsidRDefault="007F2A6C" w:rsidP="008779AF">
            <w:pPr>
              <w:rPr>
                <w:sz w:val="24"/>
                <w:szCs w:val="24"/>
              </w:rPr>
            </w:pPr>
            <w:sdt>
              <w:sdtPr>
                <w:rPr>
                  <w:sz w:val="24"/>
                  <w:szCs w:val="24"/>
                </w:rPr>
                <w:id w:val="-356741378"/>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No </w:t>
            </w:r>
          </w:p>
        </w:tc>
        <w:tc>
          <w:tcPr>
            <w:tcW w:w="2448" w:type="dxa"/>
          </w:tcPr>
          <w:p w:rsidR="0068184A" w:rsidRPr="007B14CE" w:rsidRDefault="0068184A" w:rsidP="00351A82">
            <w:pPr>
              <w:jc w:val="center"/>
              <w:rPr>
                <w:sz w:val="24"/>
                <w:szCs w:val="24"/>
              </w:rPr>
            </w:pPr>
            <w:r w:rsidRPr="007B14CE">
              <w:rPr>
                <w:sz w:val="24"/>
                <w:szCs w:val="24"/>
              </w:rPr>
              <w:t>C16</w:t>
            </w:r>
          </w:p>
          <w:p w:rsidR="00B870F8" w:rsidRPr="007B14CE" w:rsidRDefault="003701D1" w:rsidP="00351A82">
            <w:pPr>
              <w:jc w:val="center"/>
              <w:rPr>
                <w:sz w:val="24"/>
                <w:szCs w:val="24"/>
              </w:rPr>
            </w:pPr>
            <w:r w:rsidRPr="007B14CE">
              <w:rPr>
                <w:sz w:val="24"/>
                <w:szCs w:val="24"/>
              </w:rPr>
              <w:t xml:space="preserve">Page 19-20, </w:t>
            </w:r>
            <w:r w:rsidR="00351A82" w:rsidRPr="007B14CE">
              <w:rPr>
                <w:sz w:val="24"/>
                <w:szCs w:val="24"/>
              </w:rPr>
              <w:t>28-29</w:t>
            </w:r>
          </w:p>
        </w:tc>
      </w:tr>
      <w:tr w:rsidR="00B870F8" w:rsidRPr="00547B79" w:rsidTr="007B14CE">
        <w:tc>
          <w:tcPr>
            <w:tcW w:w="2268" w:type="dxa"/>
            <w:shd w:val="clear" w:color="auto" w:fill="D6E3BC" w:themeFill="accent3" w:themeFillTint="66"/>
          </w:tcPr>
          <w:p w:rsidR="00B870F8" w:rsidRPr="007B14CE" w:rsidRDefault="00AA5B8F" w:rsidP="00F35C55">
            <w:pPr>
              <w:jc w:val="center"/>
              <w:rPr>
                <w:b/>
                <w:sz w:val="24"/>
                <w:szCs w:val="24"/>
              </w:rPr>
            </w:pPr>
            <w:r w:rsidRPr="007B14CE">
              <w:rPr>
                <w:b/>
                <w:sz w:val="24"/>
                <w:szCs w:val="24"/>
              </w:rPr>
              <w:t>Talent Development</w:t>
            </w:r>
          </w:p>
        </w:tc>
        <w:tc>
          <w:tcPr>
            <w:tcW w:w="8280" w:type="dxa"/>
            <w:shd w:val="clear" w:color="auto" w:fill="D6E3BC" w:themeFill="accent3" w:themeFillTint="66"/>
          </w:tcPr>
          <w:p w:rsidR="00351A82" w:rsidRPr="007B14CE" w:rsidRDefault="00946F3D" w:rsidP="006B2365">
            <w:pPr>
              <w:rPr>
                <w:sz w:val="24"/>
                <w:szCs w:val="24"/>
              </w:rPr>
            </w:pPr>
            <w:r w:rsidRPr="007B14CE">
              <w:rPr>
                <w:sz w:val="24"/>
                <w:szCs w:val="24"/>
              </w:rPr>
              <w:t xml:space="preserve">Talent Development increases capacity for someone to learn and/or demonstrate work-related skills.  It may include online training and assessment resources, or staff-led workshops and instruction.  </w:t>
            </w:r>
          </w:p>
        </w:tc>
        <w:tc>
          <w:tcPr>
            <w:tcW w:w="1620" w:type="dxa"/>
          </w:tcPr>
          <w:p w:rsidR="008779AF" w:rsidRPr="007B14CE" w:rsidRDefault="007F2A6C" w:rsidP="008779AF">
            <w:pPr>
              <w:tabs>
                <w:tab w:val="left" w:pos="870"/>
              </w:tabs>
              <w:rPr>
                <w:sz w:val="24"/>
                <w:szCs w:val="24"/>
              </w:rPr>
            </w:pPr>
            <w:sdt>
              <w:sdtPr>
                <w:rPr>
                  <w:sz w:val="24"/>
                  <w:szCs w:val="24"/>
                </w:rPr>
                <w:id w:val="-1936668720"/>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Yes</w:t>
            </w:r>
          </w:p>
          <w:p w:rsidR="008779AF" w:rsidRPr="007B14CE" w:rsidRDefault="007F2A6C" w:rsidP="008779AF">
            <w:pPr>
              <w:tabs>
                <w:tab w:val="left" w:pos="870"/>
              </w:tabs>
              <w:rPr>
                <w:sz w:val="24"/>
                <w:szCs w:val="24"/>
              </w:rPr>
            </w:pPr>
            <w:sdt>
              <w:sdtPr>
                <w:rPr>
                  <w:sz w:val="24"/>
                  <w:szCs w:val="24"/>
                </w:rPr>
                <w:id w:val="-816414140"/>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In Progress</w:t>
            </w:r>
          </w:p>
          <w:p w:rsidR="00B870F8" w:rsidRPr="007B14CE" w:rsidRDefault="007F2A6C" w:rsidP="008779AF">
            <w:pPr>
              <w:rPr>
                <w:sz w:val="24"/>
                <w:szCs w:val="24"/>
              </w:rPr>
            </w:pPr>
            <w:sdt>
              <w:sdtPr>
                <w:rPr>
                  <w:sz w:val="24"/>
                  <w:szCs w:val="24"/>
                </w:rPr>
                <w:id w:val="-879397429"/>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No</w:t>
            </w:r>
          </w:p>
        </w:tc>
        <w:tc>
          <w:tcPr>
            <w:tcW w:w="2448" w:type="dxa"/>
          </w:tcPr>
          <w:p w:rsidR="0068184A" w:rsidRPr="007B14CE" w:rsidRDefault="0068184A" w:rsidP="00351A82">
            <w:pPr>
              <w:jc w:val="center"/>
              <w:rPr>
                <w:sz w:val="24"/>
                <w:szCs w:val="24"/>
              </w:rPr>
            </w:pPr>
            <w:r w:rsidRPr="007B14CE">
              <w:rPr>
                <w:sz w:val="24"/>
                <w:szCs w:val="24"/>
              </w:rPr>
              <w:t>T6</w:t>
            </w:r>
          </w:p>
          <w:p w:rsidR="00B870F8" w:rsidRPr="007B14CE" w:rsidRDefault="003701D1" w:rsidP="00351A82">
            <w:pPr>
              <w:jc w:val="center"/>
              <w:rPr>
                <w:sz w:val="24"/>
                <w:szCs w:val="24"/>
              </w:rPr>
            </w:pPr>
            <w:r w:rsidRPr="007B14CE">
              <w:rPr>
                <w:sz w:val="24"/>
                <w:szCs w:val="24"/>
              </w:rPr>
              <w:t>Pages 13-14,</w:t>
            </w:r>
            <w:r w:rsidR="00351A82" w:rsidRPr="007B14CE">
              <w:rPr>
                <w:sz w:val="24"/>
                <w:szCs w:val="24"/>
              </w:rPr>
              <w:t xml:space="preserve"> 22-24</w:t>
            </w:r>
          </w:p>
        </w:tc>
      </w:tr>
      <w:tr w:rsidR="00B870F8" w:rsidRPr="00547B79" w:rsidTr="007B14CE">
        <w:tc>
          <w:tcPr>
            <w:tcW w:w="2268" w:type="dxa"/>
            <w:shd w:val="clear" w:color="auto" w:fill="D6E3BC" w:themeFill="accent3" w:themeFillTint="66"/>
          </w:tcPr>
          <w:p w:rsidR="00B870F8" w:rsidRPr="007B14CE" w:rsidRDefault="00AA5B8F" w:rsidP="00F35C55">
            <w:pPr>
              <w:jc w:val="center"/>
              <w:rPr>
                <w:b/>
                <w:sz w:val="24"/>
                <w:szCs w:val="24"/>
              </w:rPr>
            </w:pPr>
            <w:r w:rsidRPr="007B14CE">
              <w:rPr>
                <w:b/>
                <w:sz w:val="24"/>
                <w:szCs w:val="24"/>
              </w:rPr>
              <w:t>Skills Validation</w:t>
            </w:r>
          </w:p>
        </w:tc>
        <w:tc>
          <w:tcPr>
            <w:tcW w:w="8280" w:type="dxa"/>
            <w:shd w:val="clear" w:color="auto" w:fill="D6E3BC" w:themeFill="accent3" w:themeFillTint="66"/>
          </w:tcPr>
          <w:p w:rsidR="00B870F8" w:rsidRPr="007B14CE" w:rsidRDefault="00946F3D" w:rsidP="00F35C55">
            <w:pPr>
              <w:rPr>
                <w:sz w:val="24"/>
                <w:szCs w:val="24"/>
              </w:rPr>
            </w:pPr>
            <w:r w:rsidRPr="007B14CE">
              <w:rPr>
                <w:sz w:val="24"/>
                <w:szCs w:val="24"/>
              </w:rPr>
              <w:t>Customers who have been determined Work Ready will be further assessed to ensure they are appropriate for the specific job referral and have been validated against all employer expectations for the position, including required work history, hard skills, certifications and licenses, and basic skills.</w:t>
            </w:r>
          </w:p>
        </w:tc>
        <w:tc>
          <w:tcPr>
            <w:tcW w:w="1620" w:type="dxa"/>
          </w:tcPr>
          <w:p w:rsidR="008779AF" w:rsidRPr="007B14CE" w:rsidRDefault="007F2A6C" w:rsidP="008779AF">
            <w:pPr>
              <w:tabs>
                <w:tab w:val="left" w:pos="870"/>
              </w:tabs>
              <w:rPr>
                <w:sz w:val="24"/>
                <w:szCs w:val="24"/>
              </w:rPr>
            </w:pPr>
            <w:sdt>
              <w:sdtPr>
                <w:rPr>
                  <w:sz w:val="24"/>
                  <w:szCs w:val="24"/>
                </w:rPr>
                <w:id w:val="-1507436666"/>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Yes</w:t>
            </w:r>
          </w:p>
          <w:p w:rsidR="008779AF" w:rsidRPr="007B14CE" w:rsidRDefault="007F2A6C" w:rsidP="008779AF">
            <w:pPr>
              <w:tabs>
                <w:tab w:val="left" w:pos="870"/>
              </w:tabs>
              <w:rPr>
                <w:sz w:val="24"/>
                <w:szCs w:val="24"/>
              </w:rPr>
            </w:pPr>
            <w:sdt>
              <w:sdtPr>
                <w:rPr>
                  <w:sz w:val="24"/>
                  <w:szCs w:val="24"/>
                </w:rPr>
                <w:id w:val="378211598"/>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In Progress</w:t>
            </w:r>
          </w:p>
          <w:p w:rsidR="00B870F8" w:rsidRPr="007B14CE" w:rsidRDefault="007F2A6C" w:rsidP="008779AF">
            <w:pPr>
              <w:rPr>
                <w:sz w:val="24"/>
                <w:szCs w:val="24"/>
              </w:rPr>
            </w:pPr>
            <w:sdt>
              <w:sdtPr>
                <w:rPr>
                  <w:sz w:val="24"/>
                  <w:szCs w:val="24"/>
                </w:rPr>
                <w:id w:val="572236683"/>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No</w:t>
            </w:r>
          </w:p>
        </w:tc>
        <w:tc>
          <w:tcPr>
            <w:tcW w:w="2448" w:type="dxa"/>
          </w:tcPr>
          <w:p w:rsidR="0068184A" w:rsidRPr="007B14CE" w:rsidRDefault="0068184A" w:rsidP="00351A82">
            <w:pPr>
              <w:jc w:val="center"/>
              <w:rPr>
                <w:sz w:val="24"/>
                <w:szCs w:val="24"/>
              </w:rPr>
            </w:pPr>
            <w:r w:rsidRPr="007B14CE">
              <w:rPr>
                <w:sz w:val="24"/>
                <w:szCs w:val="24"/>
              </w:rPr>
              <w:t>C-12 – C-13</w:t>
            </w:r>
          </w:p>
          <w:p w:rsidR="00351A82" w:rsidRPr="007B14CE" w:rsidRDefault="003701D1" w:rsidP="00351A82">
            <w:pPr>
              <w:jc w:val="center"/>
              <w:rPr>
                <w:sz w:val="24"/>
                <w:szCs w:val="24"/>
              </w:rPr>
            </w:pPr>
            <w:r w:rsidRPr="007B14CE">
              <w:rPr>
                <w:sz w:val="24"/>
                <w:szCs w:val="24"/>
              </w:rPr>
              <w:t xml:space="preserve">Pages 20-21, </w:t>
            </w:r>
            <w:r w:rsidR="00351A82" w:rsidRPr="007B14CE">
              <w:rPr>
                <w:sz w:val="24"/>
                <w:szCs w:val="24"/>
              </w:rPr>
              <w:t>28</w:t>
            </w:r>
          </w:p>
          <w:p w:rsidR="00B870F8" w:rsidRPr="007B14CE" w:rsidRDefault="00B870F8" w:rsidP="00351A82">
            <w:pPr>
              <w:jc w:val="center"/>
              <w:rPr>
                <w:sz w:val="24"/>
                <w:szCs w:val="24"/>
              </w:rPr>
            </w:pPr>
          </w:p>
        </w:tc>
      </w:tr>
      <w:tr w:rsidR="00B870F8" w:rsidRPr="00547B79" w:rsidTr="007B14CE">
        <w:tc>
          <w:tcPr>
            <w:tcW w:w="2268" w:type="dxa"/>
            <w:shd w:val="clear" w:color="auto" w:fill="D6E3BC" w:themeFill="accent3" w:themeFillTint="66"/>
          </w:tcPr>
          <w:p w:rsidR="00B870F8" w:rsidRPr="007B14CE" w:rsidRDefault="00351A82" w:rsidP="00F35C55">
            <w:pPr>
              <w:jc w:val="center"/>
              <w:rPr>
                <w:b/>
                <w:sz w:val="24"/>
                <w:szCs w:val="24"/>
              </w:rPr>
            </w:pPr>
            <w:r w:rsidRPr="007B14CE">
              <w:rPr>
                <w:b/>
                <w:sz w:val="24"/>
                <w:szCs w:val="24"/>
              </w:rPr>
              <w:t>Placement Assistance</w:t>
            </w:r>
          </w:p>
        </w:tc>
        <w:tc>
          <w:tcPr>
            <w:tcW w:w="8280" w:type="dxa"/>
            <w:shd w:val="clear" w:color="auto" w:fill="D6E3BC" w:themeFill="accent3" w:themeFillTint="66"/>
          </w:tcPr>
          <w:p w:rsidR="00B870F8" w:rsidRPr="007B14CE" w:rsidRDefault="00BB0CF7" w:rsidP="00F35C55">
            <w:pPr>
              <w:rPr>
                <w:sz w:val="24"/>
                <w:szCs w:val="24"/>
              </w:rPr>
            </w:pPr>
            <w:r w:rsidRPr="007B14CE">
              <w:rPr>
                <w:sz w:val="24"/>
                <w:szCs w:val="24"/>
              </w:rPr>
              <w:t xml:space="preserve">Staff providing placement assistance will understand the local talent pool available for referrals, and will manage the “pool” of available work-ready jobseekers—prioritizing based on business needs and investment strategies outlined in the local plan.  </w:t>
            </w:r>
          </w:p>
        </w:tc>
        <w:tc>
          <w:tcPr>
            <w:tcW w:w="1620" w:type="dxa"/>
          </w:tcPr>
          <w:p w:rsidR="008779AF" w:rsidRPr="007B14CE" w:rsidRDefault="007F2A6C" w:rsidP="008779AF">
            <w:pPr>
              <w:tabs>
                <w:tab w:val="left" w:pos="870"/>
              </w:tabs>
              <w:rPr>
                <w:sz w:val="24"/>
                <w:szCs w:val="24"/>
              </w:rPr>
            </w:pPr>
            <w:sdt>
              <w:sdtPr>
                <w:rPr>
                  <w:sz w:val="24"/>
                  <w:szCs w:val="24"/>
                </w:rPr>
                <w:id w:val="798967075"/>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Yes</w:t>
            </w:r>
          </w:p>
          <w:p w:rsidR="008779AF" w:rsidRPr="007B14CE" w:rsidRDefault="007F2A6C" w:rsidP="008779AF">
            <w:pPr>
              <w:tabs>
                <w:tab w:val="left" w:pos="870"/>
              </w:tabs>
              <w:rPr>
                <w:sz w:val="24"/>
                <w:szCs w:val="24"/>
              </w:rPr>
            </w:pPr>
            <w:sdt>
              <w:sdtPr>
                <w:rPr>
                  <w:sz w:val="24"/>
                  <w:szCs w:val="24"/>
                </w:rPr>
                <w:id w:val="-1474672924"/>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In Progress</w:t>
            </w:r>
          </w:p>
          <w:p w:rsidR="00B870F8" w:rsidRPr="007B14CE" w:rsidRDefault="007F2A6C" w:rsidP="008779AF">
            <w:pPr>
              <w:rPr>
                <w:sz w:val="24"/>
                <w:szCs w:val="24"/>
              </w:rPr>
            </w:pPr>
            <w:sdt>
              <w:sdtPr>
                <w:rPr>
                  <w:sz w:val="24"/>
                  <w:szCs w:val="24"/>
                </w:rPr>
                <w:id w:val="-131714465"/>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No</w:t>
            </w:r>
          </w:p>
        </w:tc>
        <w:tc>
          <w:tcPr>
            <w:tcW w:w="2448" w:type="dxa"/>
          </w:tcPr>
          <w:p w:rsidR="0068184A" w:rsidRPr="007B14CE" w:rsidRDefault="0068184A" w:rsidP="00351A82">
            <w:pPr>
              <w:jc w:val="center"/>
              <w:rPr>
                <w:sz w:val="24"/>
                <w:szCs w:val="24"/>
              </w:rPr>
            </w:pPr>
            <w:r w:rsidRPr="007B14CE">
              <w:rPr>
                <w:sz w:val="24"/>
                <w:szCs w:val="24"/>
              </w:rPr>
              <w:t>C14 – C15</w:t>
            </w:r>
          </w:p>
          <w:p w:rsidR="00B870F8" w:rsidRPr="007B14CE" w:rsidRDefault="00351A82" w:rsidP="00351A82">
            <w:pPr>
              <w:jc w:val="center"/>
              <w:rPr>
                <w:sz w:val="24"/>
                <w:szCs w:val="24"/>
              </w:rPr>
            </w:pPr>
            <w:r w:rsidRPr="007B14CE">
              <w:rPr>
                <w:sz w:val="24"/>
                <w:szCs w:val="24"/>
              </w:rPr>
              <w:t>Page 12</w:t>
            </w:r>
          </w:p>
        </w:tc>
      </w:tr>
      <w:tr w:rsidR="00B870F8" w:rsidRPr="00547B79" w:rsidTr="007B14CE">
        <w:tc>
          <w:tcPr>
            <w:tcW w:w="2268" w:type="dxa"/>
            <w:shd w:val="clear" w:color="auto" w:fill="D6E3BC" w:themeFill="accent3" w:themeFillTint="66"/>
          </w:tcPr>
          <w:p w:rsidR="00B870F8" w:rsidRPr="007B14CE" w:rsidRDefault="00AA5B8F" w:rsidP="00F35C55">
            <w:pPr>
              <w:jc w:val="center"/>
              <w:rPr>
                <w:b/>
                <w:sz w:val="24"/>
                <w:szCs w:val="24"/>
              </w:rPr>
            </w:pPr>
            <w:r w:rsidRPr="007B14CE">
              <w:rPr>
                <w:b/>
                <w:sz w:val="24"/>
                <w:szCs w:val="24"/>
              </w:rPr>
              <w:t>Recruitment Services</w:t>
            </w:r>
          </w:p>
        </w:tc>
        <w:tc>
          <w:tcPr>
            <w:tcW w:w="8280" w:type="dxa"/>
            <w:shd w:val="clear" w:color="auto" w:fill="D6E3BC" w:themeFill="accent3" w:themeFillTint="66"/>
          </w:tcPr>
          <w:p w:rsidR="00B870F8" w:rsidRPr="007B14CE" w:rsidRDefault="00E44403" w:rsidP="00F35C55">
            <w:pPr>
              <w:rPr>
                <w:sz w:val="24"/>
                <w:szCs w:val="24"/>
              </w:rPr>
            </w:pPr>
            <w:r w:rsidRPr="007B14CE">
              <w:rPr>
                <w:sz w:val="24"/>
                <w:szCs w:val="24"/>
              </w:rPr>
              <w:t>Recruitment Services will support targeted populations and Sector Strategies recruitments.  WSO staff will conduct an on-site employer visit prior to the start of the recruitment then send qualified candidates to the employer in a timely manner.</w:t>
            </w:r>
          </w:p>
        </w:tc>
        <w:tc>
          <w:tcPr>
            <w:tcW w:w="1620" w:type="dxa"/>
          </w:tcPr>
          <w:p w:rsidR="008779AF" w:rsidRPr="007B14CE" w:rsidRDefault="007F2A6C" w:rsidP="008779AF">
            <w:pPr>
              <w:tabs>
                <w:tab w:val="left" w:pos="870"/>
              </w:tabs>
              <w:rPr>
                <w:sz w:val="24"/>
                <w:szCs w:val="24"/>
              </w:rPr>
            </w:pPr>
            <w:sdt>
              <w:sdtPr>
                <w:rPr>
                  <w:sz w:val="24"/>
                  <w:szCs w:val="24"/>
                </w:rPr>
                <w:id w:val="1894615477"/>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Yes</w:t>
            </w:r>
          </w:p>
          <w:p w:rsidR="008779AF" w:rsidRPr="007B14CE" w:rsidRDefault="007F2A6C" w:rsidP="008779AF">
            <w:pPr>
              <w:tabs>
                <w:tab w:val="left" w:pos="870"/>
              </w:tabs>
              <w:rPr>
                <w:sz w:val="24"/>
                <w:szCs w:val="24"/>
              </w:rPr>
            </w:pPr>
            <w:sdt>
              <w:sdtPr>
                <w:rPr>
                  <w:sz w:val="24"/>
                  <w:szCs w:val="24"/>
                </w:rPr>
                <w:id w:val="1284851514"/>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In Progress</w:t>
            </w:r>
          </w:p>
          <w:p w:rsidR="00B870F8" w:rsidRPr="007B14CE" w:rsidRDefault="007F2A6C" w:rsidP="008779AF">
            <w:pPr>
              <w:rPr>
                <w:sz w:val="24"/>
                <w:szCs w:val="24"/>
              </w:rPr>
            </w:pPr>
            <w:sdt>
              <w:sdtPr>
                <w:rPr>
                  <w:sz w:val="24"/>
                  <w:szCs w:val="24"/>
                </w:rPr>
                <w:id w:val="-777558463"/>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No</w:t>
            </w:r>
          </w:p>
        </w:tc>
        <w:tc>
          <w:tcPr>
            <w:tcW w:w="2448" w:type="dxa"/>
          </w:tcPr>
          <w:p w:rsidR="0068184A" w:rsidRPr="007B14CE" w:rsidRDefault="0068184A" w:rsidP="00351A82">
            <w:pPr>
              <w:jc w:val="center"/>
              <w:rPr>
                <w:sz w:val="24"/>
                <w:szCs w:val="24"/>
              </w:rPr>
            </w:pPr>
            <w:r w:rsidRPr="007B14CE">
              <w:rPr>
                <w:sz w:val="24"/>
                <w:szCs w:val="24"/>
              </w:rPr>
              <w:t>B1 – B6</w:t>
            </w:r>
          </w:p>
          <w:p w:rsidR="00B870F8" w:rsidRPr="007B14CE" w:rsidRDefault="00351A82" w:rsidP="00351A82">
            <w:pPr>
              <w:jc w:val="center"/>
              <w:rPr>
                <w:sz w:val="24"/>
                <w:szCs w:val="24"/>
              </w:rPr>
            </w:pPr>
            <w:r w:rsidRPr="007B14CE">
              <w:rPr>
                <w:sz w:val="24"/>
                <w:szCs w:val="24"/>
              </w:rPr>
              <w:t>Page 15</w:t>
            </w:r>
          </w:p>
        </w:tc>
      </w:tr>
      <w:tr w:rsidR="00B870F8" w:rsidRPr="00547B79" w:rsidTr="007B14CE">
        <w:tc>
          <w:tcPr>
            <w:tcW w:w="2268" w:type="dxa"/>
            <w:shd w:val="clear" w:color="auto" w:fill="D6E3BC" w:themeFill="accent3" w:themeFillTint="66"/>
          </w:tcPr>
          <w:p w:rsidR="00B870F8" w:rsidRPr="007B14CE" w:rsidRDefault="00AA5B8F" w:rsidP="00F35C55">
            <w:pPr>
              <w:jc w:val="center"/>
              <w:rPr>
                <w:b/>
                <w:sz w:val="24"/>
                <w:szCs w:val="24"/>
              </w:rPr>
            </w:pPr>
            <w:r w:rsidRPr="007B14CE">
              <w:rPr>
                <w:b/>
                <w:sz w:val="24"/>
                <w:szCs w:val="24"/>
              </w:rPr>
              <w:t>Feedback Mechanism</w:t>
            </w:r>
          </w:p>
          <w:p w:rsidR="00D5782A" w:rsidRPr="007B14CE" w:rsidRDefault="00D5782A" w:rsidP="00F35C55">
            <w:pPr>
              <w:jc w:val="center"/>
              <w:rPr>
                <w:b/>
                <w:sz w:val="24"/>
                <w:szCs w:val="24"/>
              </w:rPr>
            </w:pPr>
            <w:r w:rsidRPr="007B14CE">
              <w:rPr>
                <w:b/>
                <w:sz w:val="24"/>
                <w:szCs w:val="24"/>
              </w:rPr>
              <w:t>(Job Referral)</w:t>
            </w:r>
          </w:p>
        </w:tc>
        <w:tc>
          <w:tcPr>
            <w:tcW w:w="8280" w:type="dxa"/>
            <w:shd w:val="clear" w:color="auto" w:fill="D6E3BC" w:themeFill="accent3" w:themeFillTint="66"/>
          </w:tcPr>
          <w:p w:rsidR="00B870F8" w:rsidRPr="007B14CE" w:rsidRDefault="00D5782A" w:rsidP="00F35C55">
            <w:pPr>
              <w:rPr>
                <w:sz w:val="24"/>
                <w:szCs w:val="24"/>
              </w:rPr>
            </w:pPr>
            <w:r w:rsidRPr="007B14CE">
              <w:rPr>
                <w:sz w:val="24"/>
                <w:szCs w:val="24"/>
              </w:rPr>
              <w:t xml:space="preserve">Placement and recruitment activities must include a feedback mechanism between the WSO and employers.  </w:t>
            </w:r>
          </w:p>
        </w:tc>
        <w:tc>
          <w:tcPr>
            <w:tcW w:w="1620" w:type="dxa"/>
          </w:tcPr>
          <w:p w:rsidR="008779AF" w:rsidRPr="007B14CE" w:rsidRDefault="007F2A6C" w:rsidP="008779AF">
            <w:pPr>
              <w:tabs>
                <w:tab w:val="left" w:pos="870"/>
              </w:tabs>
              <w:rPr>
                <w:sz w:val="24"/>
                <w:szCs w:val="24"/>
              </w:rPr>
            </w:pPr>
            <w:sdt>
              <w:sdtPr>
                <w:rPr>
                  <w:sz w:val="24"/>
                  <w:szCs w:val="24"/>
                </w:rPr>
                <w:id w:val="-346494257"/>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Yes</w:t>
            </w:r>
          </w:p>
          <w:p w:rsidR="008779AF" w:rsidRPr="007B14CE" w:rsidRDefault="007F2A6C" w:rsidP="008779AF">
            <w:pPr>
              <w:tabs>
                <w:tab w:val="left" w:pos="870"/>
              </w:tabs>
              <w:rPr>
                <w:sz w:val="24"/>
                <w:szCs w:val="24"/>
              </w:rPr>
            </w:pPr>
            <w:sdt>
              <w:sdtPr>
                <w:rPr>
                  <w:sz w:val="24"/>
                  <w:szCs w:val="24"/>
                </w:rPr>
                <w:id w:val="1949437586"/>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In Progress</w:t>
            </w:r>
          </w:p>
          <w:p w:rsidR="00B870F8" w:rsidRPr="007B14CE" w:rsidRDefault="007F2A6C" w:rsidP="008779AF">
            <w:pPr>
              <w:rPr>
                <w:sz w:val="24"/>
                <w:szCs w:val="24"/>
              </w:rPr>
            </w:pPr>
            <w:sdt>
              <w:sdtPr>
                <w:rPr>
                  <w:sz w:val="24"/>
                  <w:szCs w:val="24"/>
                </w:rPr>
                <w:id w:val="1317836717"/>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No</w:t>
            </w:r>
          </w:p>
        </w:tc>
        <w:tc>
          <w:tcPr>
            <w:tcW w:w="2448" w:type="dxa"/>
          </w:tcPr>
          <w:p w:rsidR="0068184A" w:rsidRPr="007B14CE" w:rsidRDefault="0068184A" w:rsidP="003701D1">
            <w:pPr>
              <w:jc w:val="center"/>
              <w:rPr>
                <w:sz w:val="24"/>
                <w:szCs w:val="24"/>
              </w:rPr>
            </w:pPr>
            <w:r w:rsidRPr="007B14CE">
              <w:rPr>
                <w:sz w:val="24"/>
                <w:szCs w:val="24"/>
              </w:rPr>
              <w:t>C-17, B-8</w:t>
            </w:r>
          </w:p>
          <w:p w:rsidR="00B870F8" w:rsidRPr="007B14CE" w:rsidRDefault="00351A82" w:rsidP="003701D1">
            <w:pPr>
              <w:jc w:val="center"/>
              <w:rPr>
                <w:sz w:val="24"/>
                <w:szCs w:val="24"/>
              </w:rPr>
            </w:pPr>
            <w:r w:rsidRPr="007B14CE">
              <w:rPr>
                <w:sz w:val="24"/>
                <w:szCs w:val="24"/>
              </w:rPr>
              <w:t>Pages 9, 12  14-15</w:t>
            </w:r>
          </w:p>
        </w:tc>
      </w:tr>
    </w:tbl>
    <w:p w:rsidR="007B14CE" w:rsidRDefault="007B14CE">
      <w:r>
        <w:br w:type="page"/>
      </w:r>
    </w:p>
    <w:tbl>
      <w:tblPr>
        <w:tblStyle w:val="TableGrid"/>
        <w:tblW w:w="0" w:type="auto"/>
        <w:tblLayout w:type="fixed"/>
        <w:tblLook w:val="04A0" w:firstRow="1" w:lastRow="0" w:firstColumn="1" w:lastColumn="0" w:noHBand="0" w:noVBand="1"/>
      </w:tblPr>
      <w:tblGrid>
        <w:gridCol w:w="2268"/>
        <w:gridCol w:w="8280"/>
        <w:gridCol w:w="1620"/>
        <w:gridCol w:w="2448"/>
      </w:tblGrid>
      <w:tr w:rsidR="00CE003A" w:rsidRPr="004E4BC6" w:rsidTr="000B059A">
        <w:tc>
          <w:tcPr>
            <w:tcW w:w="2268" w:type="dxa"/>
            <w:shd w:val="clear" w:color="auto" w:fill="000000" w:themeFill="text1"/>
          </w:tcPr>
          <w:p w:rsidR="00CE003A" w:rsidRPr="004E4BC6" w:rsidRDefault="00CE003A" w:rsidP="000B059A">
            <w:pPr>
              <w:jc w:val="center"/>
              <w:rPr>
                <w:b/>
                <w:sz w:val="24"/>
                <w:szCs w:val="24"/>
              </w:rPr>
            </w:pPr>
            <w:r w:rsidRPr="004E4BC6">
              <w:rPr>
                <w:b/>
                <w:sz w:val="24"/>
                <w:szCs w:val="24"/>
              </w:rPr>
              <w:lastRenderedPageBreak/>
              <w:t>Standard</w:t>
            </w:r>
          </w:p>
        </w:tc>
        <w:tc>
          <w:tcPr>
            <w:tcW w:w="8280" w:type="dxa"/>
            <w:shd w:val="clear" w:color="auto" w:fill="000000" w:themeFill="text1"/>
          </w:tcPr>
          <w:p w:rsidR="00CE003A" w:rsidRPr="004E4BC6" w:rsidRDefault="00CE003A" w:rsidP="000B059A">
            <w:pPr>
              <w:jc w:val="center"/>
              <w:rPr>
                <w:b/>
                <w:sz w:val="24"/>
                <w:szCs w:val="24"/>
              </w:rPr>
            </w:pPr>
            <w:r w:rsidRPr="004E4BC6">
              <w:rPr>
                <w:b/>
                <w:sz w:val="24"/>
                <w:szCs w:val="24"/>
              </w:rPr>
              <w:t>Definition</w:t>
            </w:r>
          </w:p>
        </w:tc>
        <w:tc>
          <w:tcPr>
            <w:tcW w:w="1620" w:type="dxa"/>
            <w:shd w:val="clear" w:color="auto" w:fill="000000" w:themeFill="text1"/>
          </w:tcPr>
          <w:p w:rsidR="00CE003A" w:rsidRPr="004E4BC6" w:rsidRDefault="00CE003A" w:rsidP="000B059A">
            <w:pPr>
              <w:jc w:val="center"/>
              <w:rPr>
                <w:b/>
                <w:sz w:val="24"/>
                <w:szCs w:val="24"/>
              </w:rPr>
            </w:pPr>
            <w:r>
              <w:rPr>
                <w:b/>
                <w:sz w:val="24"/>
                <w:szCs w:val="24"/>
              </w:rPr>
              <w:t>Update</w:t>
            </w:r>
          </w:p>
        </w:tc>
        <w:tc>
          <w:tcPr>
            <w:tcW w:w="2448" w:type="dxa"/>
            <w:shd w:val="clear" w:color="auto" w:fill="000000" w:themeFill="text1"/>
          </w:tcPr>
          <w:p w:rsidR="00CE003A" w:rsidRPr="004E4BC6" w:rsidRDefault="00CE003A" w:rsidP="000B059A">
            <w:pPr>
              <w:jc w:val="center"/>
              <w:rPr>
                <w:b/>
                <w:sz w:val="24"/>
                <w:szCs w:val="24"/>
              </w:rPr>
            </w:pPr>
            <w:r>
              <w:rPr>
                <w:b/>
                <w:sz w:val="24"/>
                <w:szCs w:val="24"/>
              </w:rPr>
              <w:t>Standards Reference</w:t>
            </w:r>
          </w:p>
        </w:tc>
      </w:tr>
      <w:tr w:rsidR="00D5782A" w:rsidRPr="00547B79" w:rsidTr="007B14CE">
        <w:tc>
          <w:tcPr>
            <w:tcW w:w="2268" w:type="dxa"/>
            <w:shd w:val="clear" w:color="auto" w:fill="D6E3BC" w:themeFill="accent3" w:themeFillTint="66"/>
          </w:tcPr>
          <w:p w:rsidR="00D5782A" w:rsidRPr="007B14CE" w:rsidRDefault="00D5782A" w:rsidP="00D5782A">
            <w:pPr>
              <w:jc w:val="center"/>
              <w:rPr>
                <w:b/>
                <w:sz w:val="24"/>
                <w:szCs w:val="24"/>
              </w:rPr>
            </w:pPr>
            <w:r w:rsidRPr="007B14CE">
              <w:rPr>
                <w:b/>
                <w:sz w:val="24"/>
                <w:szCs w:val="24"/>
              </w:rPr>
              <w:t>Feedback Mechanism</w:t>
            </w:r>
          </w:p>
          <w:p w:rsidR="00D5782A" w:rsidRPr="007B14CE" w:rsidRDefault="00D5782A" w:rsidP="00D5782A">
            <w:pPr>
              <w:jc w:val="center"/>
              <w:rPr>
                <w:b/>
                <w:sz w:val="24"/>
                <w:szCs w:val="24"/>
              </w:rPr>
            </w:pPr>
            <w:r w:rsidRPr="007B14CE">
              <w:rPr>
                <w:b/>
                <w:sz w:val="24"/>
                <w:szCs w:val="24"/>
              </w:rPr>
              <w:t>(Training)</w:t>
            </w:r>
          </w:p>
        </w:tc>
        <w:tc>
          <w:tcPr>
            <w:tcW w:w="8280" w:type="dxa"/>
            <w:shd w:val="clear" w:color="auto" w:fill="D6E3BC" w:themeFill="accent3" w:themeFillTint="66"/>
          </w:tcPr>
          <w:p w:rsidR="00D5782A" w:rsidRPr="007B14CE" w:rsidRDefault="00D5782A" w:rsidP="00F35C55">
            <w:pPr>
              <w:rPr>
                <w:sz w:val="24"/>
                <w:szCs w:val="24"/>
              </w:rPr>
            </w:pPr>
            <w:r w:rsidRPr="007B14CE">
              <w:rPr>
                <w:sz w:val="24"/>
                <w:szCs w:val="24"/>
              </w:rPr>
              <w:t xml:space="preserve">Mechanisms must be in place to monitor the quality and effectiveness of training services both from outcome data and business/customer feedback.  </w:t>
            </w:r>
          </w:p>
        </w:tc>
        <w:tc>
          <w:tcPr>
            <w:tcW w:w="1620" w:type="dxa"/>
          </w:tcPr>
          <w:p w:rsidR="008779AF" w:rsidRPr="007B14CE" w:rsidRDefault="007F2A6C" w:rsidP="008779AF">
            <w:pPr>
              <w:tabs>
                <w:tab w:val="left" w:pos="870"/>
              </w:tabs>
              <w:rPr>
                <w:sz w:val="24"/>
                <w:szCs w:val="24"/>
              </w:rPr>
            </w:pPr>
            <w:sdt>
              <w:sdtPr>
                <w:rPr>
                  <w:sz w:val="24"/>
                  <w:szCs w:val="24"/>
                </w:rPr>
                <w:id w:val="-961802336"/>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Yes</w:t>
            </w:r>
          </w:p>
          <w:p w:rsidR="008779AF" w:rsidRPr="007B14CE" w:rsidRDefault="007F2A6C" w:rsidP="008779AF">
            <w:pPr>
              <w:tabs>
                <w:tab w:val="left" w:pos="870"/>
              </w:tabs>
              <w:rPr>
                <w:sz w:val="24"/>
                <w:szCs w:val="24"/>
              </w:rPr>
            </w:pPr>
            <w:sdt>
              <w:sdtPr>
                <w:rPr>
                  <w:sz w:val="24"/>
                  <w:szCs w:val="24"/>
                </w:rPr>
                <w:id w:val="-1502500219"/>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In Progress</w:t>
            </w:r>
          </w:p>
          <w:p w:rsidR="00D5782A" w:rsidRPr="007B14CE" w:rsidRDefault="007F2A6C" w:rsidP="008779AF">
            <w:pPr>
              <w:rPr>
                <w:sz w:val="24"/>
                <w:szCs w:val="24"/>
              </w:rPr>
            </w:pPr>
            <w:sdt>
              <w:sdtPr>
                <w:rPr>
                  <w:sz w:val="24"/>
                  <w:szCs w:val="24"/>
                </w:rPr>
                <w:id w:val="47423394"/>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No</w:t>
            </w:r>
          </w:p>
        </w:tc>
        <w:tc>
          <w:tcPr>
            <w:tcW w:w="2448" w:type="dxa"/>
          </w:tcPr>
          <w:p w:rsidR="0068184A" w:rsidRPr="007B14CE" w:rsidRDefault="0068184A" w:rsidP="00351A82">
            <w:pPr>
              <w:jc w:val="center"/>
              <w:rPr>
                <w:sz w:val="24"/>
                <w:szCs w:val="24"/>
              </w:rPr>
            </w:pPr>
            <w:r w:rsidRPr="007B14CE">
              <w:rPr>
                <w:sz w:val="24"/>
                <w:szCs w:val="24"/>
              </w:rPr>
              <w:t>C-18, T-3</w:t>
            </w:r>
          </w:p>
          <w:p w:rsidR="00D5782A" w:rsidRPr="007B14CE" w:rsidRDefault="00351A82" w:rsidP="00351A82">
            <w:pPr>
              <w:jc w:val="center"/>
              <w:rPr>
                <w:sz w:val="24"/>
                <w:szCs w:val="24"/>
              </w:rPr>
            </w:pPr>
            <w:r w:rsidRPr="007B14CE">
              <w:rPr>
                <w:sz w:val="24"/>
                <w:szCs w:val="24"/>
              </w:rPr>
              <w:t>Pages 9, 13, 15</w:t>
            </w:r>
          </w:p>
        </w:tc>
      </w:tr>
      <w:tr w:rsidR="00BA1F38" w:rsidRPr="00547B79" w:rsidTr="007B14CE">
        <w:tc>
          <w:tcPr>
            <w:tcW w:w="2268" w:type="dxa"/>
            <w:shd w:val="clear" w:color="auto" w:fill="CCC0D9" w:themeFill="accent4" w:themeFillTint="66"/>
          </w:tcPr>
          <w:p w:rsidR="00B870F8" w:rsidRPr="007B14CE" w:rsidRDefault="00AA5B8F" w:rsidP="00F35C55">
            <w:pPr>
              <w:jc w:val="center"/>
              <w:rPr>
                <w:b/>
                <w:sz w:val="24"/>
                <w:szCs w:val="24"/>
              </w:rPr>
            </w:pPr>
            <w:r w:rsidRPr="007B14CE">
              <w:rPr>
                <w:b/>
                <w:sz w:val="24"/>
                <w:szCs w:val="24"/>
              </w:rPr>
              <w:t>Target Populations placed from talent pool to any job</w:t>
            </w:r>
          </w:p>
        </w:tc>
        <w:tc>
          <w:tcPr>
            <w:tcW w:w="8280" w:type="dxa"/>
            <w:shd w:val="clear" w:color="auto" w:fill="CCC0D9" w:themeFill="accent4" w:themeFillTint="66"/>
          </w:tcPr>
          <w:p w:rsidR="00B870F8" w:rsidRPr="007B14CE" w:rsidRDefault="00D5782A" w:rsidP="00FD1294">
            <w:pPr>
              <w:rPr>
                <w:sz w:val="24"/>
                <w:szCs w:val="24"/>
              </w:rPr>
            </w:pPr>
            <w:r w:rsidRPr="007B14CE">
              <w:rPr>
                <w:sz w:val="24"/>
                <w:szCs w:val="24"/>
              </w:rPr>
              <w:t xml:space="preserve">Local workforce boards will identify target </w:t>
            </w:r>
            <w:r w:rsidR="00FD1294" w:rsidRPr="007B14CE">
              <w:rPr>
                <w:sz w:val="24"/>
                <w:szCs w:val="24"/>
              </w:rPr>
              <w:t xml:space="preserve">job-seeker </w:t>
            </w:r>
            <w:r w:rsidRPr="007B14CE">
              <w:rPr>
                <w:sz w:val="24"/>
                <w:szCs w:val="24"/>
              </w:rPr>
              <w:t>populations to</w:t>
            </w:r>
            <w:r w:rsidR="00D804A8" w:rsidRPr="007B14CE">
              <w:rPr>
                <w:sz w:val="24"/>
                <w:szCs w:val="24"/>
              </w:rPr>
              <w:t xml:space="preserve"> </w:t>
            </w:r>
            <w:r w:rsidR="00FD1294" w:rsidRPr="007B14CE">
              <w:rPr>
                <w:sz w:val="24"/>
                <w:szCs w:val="24"/>
              </w:rPr>
              <w:t xml:space="preserve">align </w:t>
            </w:r>
            <w:r w:rsidR="00D804A8" w:rsidRPr="007B14CE">
              <w:rPr>
                <w:sz w:val="24"/>
                <w:szCs w:val="24"/>
              </w:rPr>
              <w:t>resources</w:t>
            </w:r>
            <w:r w:rsidR="00FD1294" w:rsidRPr="007B14CE">
              <w:rPr>
                <w:sz w:val="24"/>
                <w:szCs w:val="24"/>
              </w:rPr>
              <w:t xml:space="preserve"> to serve</w:t>
            </w:r>
          </w:p>
        </w:tc>
        <w:tc>
          <w:tcPr>
            <w:tcW w:w="1620" w:type="dxa"/>
          </w:tcPr>
          <w:p w:rsidR="008779AF" w:rsidRPr="007B14CE" w:rsidRDefault="007F2A6C" w:rsidP="008779AF">
            <w:pPr>
              <w:tabs>
                <w:tab w:val="left" w:pos="870"/>
              </w:tabs>
              <w:rPr>
                <w:sz w:val="24"/>
                <w:szCs w:val="24"/>
              </w:rPr>
            </w:pPr>
            <w:sdt>
              <w:sdtPr>
                <w:rPr>
                  <w:sz w:val="24"/>
                  <w:szCs w:val="24"/>
                </w:rPr>
                <w:id w:val="1148703066"/>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Yes</w:t>
            </w:r>
          </w:p>
          <w:p w:rsidR="008779AF" w:rsidRPr="007B14CE" w:rsidRDefault="007F2A6C" w:rsidP="008779AF">
            <w:pPr>
              <w:tabs>
                <w:tab w:val="left" w:pos="870"/>
              </w:tabs>
              <w:rPr>
                <w:sz w:val="24"/>
                <w:szCs w:val="24"/>
              </w:rPr>
            </w:pPr>
            <w:sdt>
              <w:sdtPr>
                <w:rPr>
                  <w:sz w:val="24"/>
                  <w:szCs w:val="24"/>
                </w:rPr>
                <w:id w:val="-938911270"/>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In Progress</w:t>
            </w:r>
          </w:p>
          <w:p w:rsidR="00B870F8" w:rsidRPr="007B14CE" w:rsidRDefault="007F2A6C" w:rsidP="008779AF">
            <w:pPr>
              <w:rPr>
                <w:sz w:val="24"/>
                <w:szCs w:val="24"/>
              </w:rPr>
            </w:pPr>
            <w:sdt>
              <w:sdtPr>
                <w:rPr>
                  <w:sz w:val="24"/>
                  <w:szCs w:val="24"/>
                </w:rPr>
                <w:id w:val="1520128421"/>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No</w:t>
            </w:r>
          </w:p>
        </w:tc>
        <w:tc>
          <w:tcPr>
            <w:tcW w:w="2448" w:type="dxa"/>
          </w:tcPr>
          <w:p w:rsidR="0068184A" w:rsidRPr="007B14CE" w:rsidRDefault="0068184A" w:rsidP="003701D1">
            <w:pPr>
              <w:jc w:val="center"/>
              <w:rPr>
                <w:sz w:val="24"/>
                <w:szCs w:val="24"/>
              </w:rPr>
            </w:pPr>
            <w:r w:rsidRPr="007B14CE">
              <w:rPr>
                <w:sz w:val="24"/>
                <w:szCs w:val="24"/>
              </w:rPr>
              <w:t>B5</w:t>
            </w:r>
          </w:p>
          <w:p w:rsidR="00B870F8" w:rsidRPr="007B14CE" w:rsidRDefault="003701D1" w:rsidP="003701D1">
            <w:pPr>
              <w:jc w:val="center"/>
              <w:rPr>
                <w:sz w:val="24"/>
                <w:szCs w:val="24"/>
              </w:rPr>
            </w:pPr>
            <w:r w:rsidRPr="007B14CE">
              <w:rPr>
                <w:sz w:val="24"/>
                <w:szCs w:val="24"/>
              </w:rPr>
              <w:t>Pages 13, 15</w:t>
            </w:r>
          </w:p>
        </w:tc>
      </w:tr>
      <w:tr w:rsidR="00B870F8" w:rsidRPr="00547B79" w:rsidTr="007B14CE">
        <w:tc>
          <w:tcPr>
            <w:tcW w:w="2268" w:type="dxa"/>
            <w:shd w:val="clear" w:color="auto" w:fill="B8CCE4" w:themeFill="accent1" w:themeFillTint="66"/>
          </w:tcPr>
          <w:p w:rsidR="00B870F8" w:rsidRPr="007B14CE" w:rsidRDefault="00AA5B8F" w:rsidP="00F35C55">
            <w:pPr>
              <w:jc w:val="center"/>
              <w:rPr>
                <w:b/>
                <w:sz w:val="24"/>
                <w:szCs w:val="24"/>
              </w:rPr>
            </w:pPr>
            <w:r w:rsidRPr="007B14CE">
              <w:rPr>
                <w:b/>
                <w:sz w:val="24"/>
                <w:szCs w:val="24"/>
              </w:rPr>
              <w:t>Sector Partnerships</w:t>
            </w:r>
          </w:p>
        </w:tc>
        <w:tc>
          <w:tcPr>
            <w:tcW w:w="8280" w:type="dxa"/>
            <w:shd w:val="clear" w:color="auto" w:fill="B8CCE4" w:themeFill="accent1" w:themeFillTint="66"/>
          </w:tcPr>
          <w:p w:rsidR="00B870F8" w:rsidRPr="007B14CE" w:rsidRDefault="00D5782A" w:rsidP="00F35C55">
            <w:pPr>
              <w:rPr>
                <w:sz w:val="24"/>
                <w:szCs w:val="24"/>
              </w:rPr>
            </w:pPr>
            <w:r w:rsidRPr="007B14CE">
              <w:rPr>
                <w:sz w:val="24"/>
                <w:szCs w:val="24"/>
              </w:rPr>
              <w:t>Local Boards will identify targeted sectors as part of the planning process.  Local Boards will develop service priorities and dedicate resources based on local plans and investment strategies</w:t>
            </w:r>
            <w:r w:rsidR="00D804A8" w:rsidRPr="007B14CE">
              <w:rPr>
                <w:sz w:val="24"/>
                <w:szCs w:val="24"/>
              </w:rPr>
              <w:t>.</w:t>
            </w:r>
          </w:p>
        </w:tc>
        <w:tc>
          <w:tcPr>
            <w:tcW w:w="1620" w:type="dxa"/>
          </w:tcPr>
          <w:p w:rsidR="008779AF" w:rsidRPr="007B14CE" w:rsidRDefault="007F2A6C" w:rsidP="008779AF">
            <w:pPr>
              <w:tabs>
                <w:tab w:val="left" w:pos="870"/>
              </w:tabs>
              <w:rPr>
                <w:sz w:val="24"/>
                <w:szCs w:val="24"/>
              </w:rPr>
            </w:pPr>
            <w:sdt>
              <w:sdtPr>
                <w:rPr>
                  <w:sz w:val="24"/>
                  <w:szCs w:val="24"/>
                </w:rPr>
                <w:id w:val="355549928"/>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Yes</w:t>
            </w:r>
          </w:p>
          <w:p w:rsidR="008779AF" w:rsidRPr="007B14CE" w:rsidRDefault="007F2A6C" w:rsidP="008779AF">
            <w:pPr>
              <w:tabs>
                <w:tab w:val="left" w:pos="870"/>
              </w:tabs>
              <w:rPr>
                <w:sz w:val="24"/>
                <w:szCs w:val="24"/>
              </w:rPr>
            </w:pPr>
            <w:sdt>
              <w:sdtPr>
                <w:rPr>
                  <w:sz w:val="24"/>
                  <w:szCs w:val="24"/>
                </w:rPr>
                <w:id w:val="26069466"/>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In Progress</w:t>
            </w:r>
          </w:p>
          <w:p w:rsidR="00B870F8" w:rsidRPr="007B14CE" w:rsidRDefault="007F2A6C" w:rsidP="008779AF">
            <w:pPr>
              <w:rPr>
                <w:sz w:val="24"/>
                <w:szCs w:val="24"/>
              </w:rPr>
            </w:pPr>
            <w:sdt>
              <w:sdtPr>
                <w:rPr>
                  <w:sz w:val="24"/>
                  <w:szCs w:val="24"/>
                </w:rPr>
                <w:id w:val="165300589"/>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No</w:t>
            </w:r>
          </w:p>
        </w:tc>
        <w:tc>
          <w:tcPr>
            <w:tcW w:w="2448" w:type="dxa"/>
          </w:tcPr>
          <w:p w:rsidR="0068184A" w:rsidRPr="007B14CE" w:rsidRDefault="0068184A" w:rsidP="00351A82">
            <w:pPr>
              <w:jc w:val="center"/>
              <w:rPr>
                <w:sz w:val="24"/>
                <w:szCs w:val="24"/>
              </w:rPr>
            </w:pPr>
            <w:r w:rsidRPr="007B14CE">
              <w:rPr>
                <w:sz w:val="24"/>
                <w:szCs w:val="24"/>
              </w:rPr>
              <w:t>SS1 – SS2</w:t>
            </w:r>
          </w:p>
          <w:p w:rsidR="00B870F8" w:rsidRPr="007B14CE" w:rsidRDefault="006B2365" w:rsidP="00351A82">
            <w:pPr>
              <w:jc w:val="center"/>
              <w:rPr>
                <w:sz w:val="24"/>
                <w:szCs w:val="24"/>
              </w:rPr>
            </w:pPr>
            <w:r w:rsidRPr="007B14CE">
              <w:rPr>
                <w:sz w:val="24"/>
                <w:szCs w:val="24"/>
              </w:rPr>
              <w:t>Pages 9, 28</w:t>
            </w:r>
          </w:p>
        </w:tc>
      </w:tr>
      <w:tr w:rsidR="00B870F8" w:rsidRPr="00547B79" w:rsidTr="007B14CE">
        <w:tc>
          <w:tcPr>
            <w:tcW w:w="2268" w:type="dxa"/>
            <w:tcBorders>
              <w:bottom w:val="single" w:sz="4" w:space="0" w:color="auto"/>
            </w:tcBorders>
            <w:shd w:val="clear" w:color="auto" w:fill="B8CCE4" w:themeFill="accent1" w:themeFillTint="66"/>
          </w:tcPr>
          <w:p w:rsidR="00B870F8" w:rsidRPr="007B14CE" w:rsidRDefault="00AA5B8F" w:rsidP="00F35C55">
            <w:pPr>
              <w:jc w:val="center"/>
              <w:rPr>
                <w:b/>
                <w:sz w:val="24"/>
                <w:szCs w:val="24"/>
              </w:rPr>
            </w:pPr>
            <w:r w:rsidRPr="007B14CE">
              <w:rPr>
                <w:b/>
                <w:sz w:val="24"/>
                <w:szCs w:val="24"/>
              </w:rPr>
              <w:t>Target populations are placed from talent pool to sector opening</w:t>
            </w:r>
          </w:p>
        </w:tc>
        <w:tc>
          <w:tcPr>
            <w:tcW w:w="8280" w:type="dxa"/>
            <w:tcBorders>
              <w:bottom w:val="single" w:sz="4" w:space="0" w:color="auto"/>
            </w:tcBorders>
            <w:shd w:val="clear" w:color="auto" w:fill="B8CCE4" w:themeFill="accent1" w:themeFillTint="66"/>
          </w:tcPr>
          <w:p w:rsidR="00B870F8" w:rsidRPr="007B14CE" w:rsidRDefault="00D804A8" w:rsidP="00F35C55">
            <w:pPr>
              <w:rPr>
                <w:sz w:val="24"/>
                <w:szCs w:val="24"/>
              </w:rPr>
            </w:pPr>
            <w:r w:rsidRPr="007B14CE">
              <w:rPr>
                <w:sz w:val="24"/>
                <w:szCs w:val="24"/>
              </w:rPr>
              <w:t>Staff providing placement assistance will understand the local talent pool available for referrals, and will manage the “pool” of available work-ready jobseekers—prioritizing based on business needs and investment strategies outlined in the local plan.</w:t>
            </w:r>
          </w:p>
        </w:tc>
        <w:tc>
          <w:tcPr>
            <w:tcW w:w="1620" w:type="dxa"/>
            <w:tcBorders>
              <w:bottom w:val="single" w:sz="4" w:space="0" w:color="auto"/>
            </w:tcBorders>
          </w:tcPr>
          <w:p w:rsidR="008779AF" w:rsidRPr="007B14CE" w:rsidRDefault="007F2A6C" w:rsidP="008779AF">
            <w:pPr>
              <w:tabs>
                <w:tab w:val="left" w:pos="870"/>
              </w:tabs>
              <w:rPr>
                <w:sz w:val="24"/>
                <w:szCs w:val="24"/>
              </w:rPr>
            </w:pPr>
            <w:sdt>
              <w:sdtPr>
                <w:rPr>
                  <w:sz w:val="24"/>
                  <w:szCs w:val="24"/>
                </w:rPr>
                <w:id w:val="-967055765"/>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Yes</w:t>
            </w:r>
          </w:p>
          <w:p w:rsidR="008779AF" w:rsidRPr="007B14CE" w:rsidRDefault="007F2A6C" w:rsidP="008779AF">
            <w:pPr>
              <w:tabs>
                <w:tab w:val="left" w:pos="870"/>
              </w:tabs>
              <w:rPr>
                <w:sz w:val="24"/>
                <w:szCs w:val="24"/>
              </w:rPr>
            </w:pPr>
            <w:sdt>
              <w:sdtPr>
                <w:rPr>
                  <w:sz w:val="24"/>
                  <w:szCs w:val="24"/>
                </w:rPr>
                <w:id w:val="-8534546"/>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In Progress</w:t>
            </w:r>
          </w:p>
          <w:p w:rsidR="00B870F8" w:rsidRPr="007B14CE" w:rsidRDefault="007F2A6C" w:rsidP="008779AF">
            <w:pPr>
              <w:rPr>
                <w:sz w:val="24"/>
                <w:szCs w:val="24"/>
              </w:rPr>
            </w:pPr>
            <w:sdt>
              <w:sdtPr>
                <w:rPr>
                  <w:sz w:val="24"/>
                  <w:szCs w:val="24"/>
                </w:rPr>
                <w:id w:val="-1468504240"/>
                <w14:checkbox>
                  <w14:checked w14:val="0"/>
                  <w14:checkedState w14:val="2612" w14:font="MS Gothic"/>
                  <w14:uncheckedState w14:val="2610" w14:font="MS Gothic"/>
                </w14:checkbox>
              </w:sdtPr>
              <w:sdtEndPr/>
              <w:sdtContent>
                <w:r w:rsidR="008779AF" w:rsidRPr="007B14CE">
                  <w:rPr>
                    <w:rFonts w:ascii="MS Gothic" w:eastAsia="MS Gothic" w:hAnsi="MS Gothic" w:hint="eastAsia"/>
                    <w:sz w:val="24"/>
                    <w:szCs w:val="24"/>
                  </w:rPr>
                  <w:t>☐</w:t>
                </w:r>
              </w:sdtContent>
            </w:sdt>
            <w:r w:rsidR="008779AF" w:rsidRPr="007B14CE">
              <w:rPr>
                <w:sz w:val="24"/>
                <w:szCs w:val="24"/>
              </w:rPr>
              <w:t xml:space="preserve"> No</w:t>
            </w:r>
          </w:p>
        </w:tc>
        <w:tc>
          <w:tcPr>
            <w:tcW w:w="2448" w:type="dxa"/>
            <w:tcBorders>
              <w:bottom w:val="single" w:sz="4" w:space="0" w:color="auto"/>
            </w:tcBorders>
          </w:tcPr>
          <w:p w:rsidR="0068184A" w:rsidRPr="007B14CE" w:rsidRDefault="0068184A" w:rsidP="00351A82">
            <w:pPr>
              <w:jc w:val="center"/>
              <w:rPr>
                <w:sz w:val="24"/>
                <w:szCs w:val="24"/>
              </w:rPr>
            </w:pPr>
            <w:r w:rsidRPr="007B14CE">
              <w:rPr>
                <w:sz w:val="24"/>
                <w:szCs w:val="24"/>
              </w:rPr>
              <w:t>B5</w:t>
            </w:r>
          </w:p>
          <w:p w:rsidR="00B870F8" w:rsidRPr="007B14CE" w:rsidRDefault="006B2365" w:rsidP="00351A82">
            <w:pPr>
              <w:jc w:val="center"/>
              <w:rPr>
                <w:sz w:val="24"/>
                <w:szCs w:val="24"/>
              </w:rPr>
            </w:pPr>
            <w:r w:rsidRPr="007B14CE">
              <w:rPr>
                <w:sz w:val="24"/>
                <w:szCs w:val="24"/>
              </w:rPr>
              <w:t>Page 15</w:t>
            </w:r>
          </w:p>
        </w:tc>
      </w:tr>
      <w:tr w:rsidR="008779AF" w:rsidRPr="00547B79" w:rsidTr="007B14CE">
        <w:tc>
          <w:tcPr>
            <w:tcW w:w="14616" w:type="dxa"/>
            <w:gridSpan w:val="4"/>
            <w:shd w:val="clear" w:color="auto" w:fill="auto"/>
          </w:tcPr>
          <w:p w:rsidR="008779AF" w:rsidRDefault="008779AF" w:rsidP="008779AF">
            <w:pPr>
              <w:rPr>
                <w:sz w:val="20"/>
                <w:szCs w:val="20"/>
              </w:rPr>
            </w:pPr>
            <w:r>
              <w:rPr>
                <w:sz w:val="20"/>
                <w:szCs w:val="20"/>
              </w:rPr>
              <w:t>COMMENTS:</w:t>
            </w:r>
          </w:p>
          <w:p w:rsidR="008779AF" w:rsidRDefault="008779AF" w:rsidP="008779AF">
            <w:pPr>
              <w:rPr>
                <w:sz w:val="20"/>
                <w:szCs w:val="20"/>
              </w:rPr>
            </w:pPr>
          </w:p>
          <w:p w:rsidR="008779AF" w:rsidRDefault="008779AF" w:rsidP="008779AF">
            <w:pPr>
              <w:rPr>
                <w:sz w:val="20"/>
                <w:szCs w:val="20"/>
              </w:rPr>
            </w:pPr>
          </w:p>
          <w:p w:rsidR="008779AF" w:rsidRDefault="008779AF" w:rsidP="008779AF">
            <w:pPr>
              <w:rPr>
                <w:sz w:val="20"/>
                <w:szCs w:val="20"/>
              </w:rPr>
            </w:pPr>
            <w:bookmarkStart w:id="0" w:name="_GoBack"/>
            <w:bookmarkEnd w:id="0"/>
          </w:p>
          <w:p w:rsidR="008779AF" w:rsidRDefault="008779AF" w:rsidP="008779AF">
            <w:pPr>
              <w:rPr>
                <w:sz w:val="20"/>
                <w:szCs w:val="20"/>
              </w:rPr>
            </w:pPr>
          </w:p>
          <w:p w:rsidR="007B14CE" w:rsidRDefault="007B14CE" w:rsidP="008779AF">
            <w:pPr>
              <w:rPr>
                <w:sz w:val="20"/>
                <w:szCs w:val="20"/>
              </w:rPr>
            </w:pPr>
          </w:p>
          <w:p w:rsidR="007B14CE" w:rsidRDefault="007B14CE" w:rsidP="008779AF">
            <w:pPr>
              <w:rPr>
                <w:sz w:val="20"/>
                <w:szCs w:val="20"/>
              </w:rPr>
            </w:pPr>
          </w:p>
          <w:p w:rsidR="007B14CE" w:rsidRDefault="007B14CE" w:rsidP="008779AF">
            <w:pPr>
              <w:rPr>
                <w:sz w:val="20"/>
                <w:szCs w:val="20"/>
              </w:rPr>
            </w:pPr>
          </w:p>
          <w:p w:rsidR="007B14CE" w:rsidRDefault="007B14CE" w:rsidP="008779AF">
            <w:pPr>
              <w:rPr>
                <w:sz w:val="20"/>
                <w:szCs w:val="20"/>
              </w:rPr>
            </w:pPr>
          </w:p>
          <w:p w:rsidR="007B14CE" w:rsidRDefault="007B14CE" w:rsidP="008779AF">
            <w:pPr>
              <w:rPr>
                <w:sz w:val="20"/>
                <w:szCs w:val="20"/>
              </w:rPr>
            </w:pPr>
          </w:p>
          <w:p w:rsidR="007B14CE" w:rsidRDefault="007B14CE" w:rsidP="008779AF">
            <w:pPr>
              <w:rPr>
                <w:sz w:val="20"/>
                <w:szCs w:val="20"/>
              </w:rPr>
            </w:pPr>
          </w:p>
          <w:p w:rsidR="007B14CE" w:rsidRDefault="007B14CE" w:rsidP="008779AF">
            <w:pPr>
              <w:rPr>
                <w:sz w:val="20"/>
                <w:szCs w:val="20"/>
              </w:rPr>
            </w:pPr>
          </w:p>
          <w:p w:rsidR="007B14CE" w:rsidRDefault="007B14CE" w:rsidP="008779AF">
            <w:pPr>
              <w:rPr>
                <w:sz w:val="20"/>
                <w:szCs w:val="20"/>
              </w:rPr>
            </w:pPr>
          </w:p>
          <w:p w:rsidR="007B14CE" w:rsidRDefault="007B14CE" w:rsidP="008779AF">
            <w:pPr>
              <w:rPr>
                <w:sz w:val="20"/>
                <w:szCs w:val="20"/>
              </w:rPr>
            </w:pPr>
          </w:p>
          <w:p w:rsidR="007B14CE" w:rsidRDefault="007B14CE" w:rsidP="008779AF">
            <w:pPr>
              <w:rPr>
                <w:sz w:val="20"/>
                <w:szCs w:val="20"/>
              </w:rPr>
            </w:pPr>
          </w:p>
          <w:p w:rsidR="007B14CE" w:rsidRDefault="007B14CE" w:rsidP="008779AF">
            <w:pPr>
              <w:rPr>
                <w:sz w:val="20"/>
                <w:szCs w:val="20"/>
              </w:rPr>
            </w:pPr>
          </w:p>
          <w:p w:rsidR="007B14CE" w:rsidRDefault="007B14CE" w:rsidP="008779AF">
            <w:pPr>
              <w:rPr>
                <w:sz w:val="20"/>
                <w:szCs w:val="20"/>
              </w:rPr>
            </w:pPr>
          </w:p>
          <w:p w:rsidR="008779AF" w:rsidRDefault="008779AF" w:rsidP="008779AF">
            <w:pPr>
              <w:rPr>
                <w:sz w:val="20"/>
                <w:szCs w:val="20"/>
              </w:rPr>
            </w:pPr>
          </w:p>
          <w:p w:rsidR="008779AF" w:rsidRDefault="008779AF" w:rsidP="008779AF">
            <w:pPr>
              <w:rPr>
                <w:sz w:val="20"/>
                <w:szCs w:val="20"/>
              </w:rPr>
            </w:pPr>
          </w:p>
        </w:tc>
      </w:tr>
    </w:tbl>
    <w:p w:rsidR="009D2C31" w:rsidRDefault="007F2A6C">
      <w:pPr>
        <w:rPr>
          <w:sz w:val="20"/>
          <w:szCs w:val="20"/>
        </w:rPr>
      </w:pPr>
    </w:p>
    <w:sectPr w:rsidR="009D2C31" w:rsidSect="004E4BC6">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FD9" w:rsidRDefault="00DC6FD9" w:rsidP="004E4BC6">
      <w:pPr>
        <w:spacing w:after="0" w:line="240" w:lineRule="auto"/>
      </w:pPr>
      <w:r>
        <w:separator/>
      </w:r>
    </w:p>
  </w:endnote>
  <w:endnote w:type="continuationSeparator" w:id="0">
    <w:p w:rsidR="00DC6FD9" w:rsidRDefault="00DC6FD9" w:rsidP="004E4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647663"/>
      <w:docPartObj>
        <w:docPartGallery w:val="Page Numbers (Bottom of Page)"/>
        <w:docPartUnique/>
      </w:docPartObj>
    </w:sdtPr>
    <w:sdtEndPr>
      <w:rPr>
        <w:noProof/>
      </w:rPr>
    </w:sdtEndPr>
    <w:sdtContent>
      <w:p w:rsidR="00512A1C" w:rsidRDefault="00512A1C">
        <w:pPr>
          <w:pStyle w:val="Footer"/>
          <w:jc w:val="right"/>
        </w:pPr>
        <w:r>
          <w:fldChar w:fldCharType="begin"/>
        </w:r>
        <w:r>
          <w:instrText xml:space="preserve"> PAGE   \* MERGEFORMAT </w:instrText>
        </w:r>
        <w:r>
          <w:fldChar w:fldCharType="separate"/>
        </w:r>
        <w:r w:rsidR="007F2A6C">
          <w:rPr>
            <w:noProof/>
          </w:rPr>
          <w:t>4</w:t>
        </w:r>
        <w:r>
          <w:rPr>
            <w:noProof/>
          </w:rPr>
          <w:fldChar w:fldCharType="end"/>
        </w:r>
      </w:p>
    </w:sdtContent>
  </w:sdt>
  <w:p w:rsidR="00512A1C" w:rsidRDefault="00512A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FD9" w:rsidRDefault="00DC6FD9" w:rsidP="004E4BC6">
      <w:pPr>
        <w:spacing w:after="0" w:line="240" w:lineRule="auto"/>
      </w:pPr>
      <w:r>
        <w:separator/>
      </w:r>
    </w:p>
  </w:footnote>
  <w:footnote w:type="continuationSeparator" w:id="0">
    <w:p w:rsidR="00DC6FD9" w:rsidRDefault="00DC6FD9" w:rsidP="004E4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C6" w:rsidRPr="00231E36" w:rsidRDefault="004E4BC6" w:rsidP="004E4BC6">
    <w:pPr>
      <w:pStyle w:val="Header"/>
      <w:jc w:val="right"/>
      <w:rPr>
        <w:b/>
        <w:sz w:val="28"/>
        <w:szCs w:val="28"/>
      </w:rPr>
    </w:pPr>
    <w:r>
      <w:rPr>
        <w:b/>
        <w:noProof/>
        <w:sz w:val="28"/>
        <w:szCs w:val="28"/>
      </w:rPr>
      <w:drawing>
        <wp:anchor distT="0" distB="0" distL="114300" distR="114300" simplePos="0" relativeHeight="251659264" behindDoc="1" locked="0" layoutInCell="1" allowOverlap="1" wp14:anchorId="1E667C98" wp14:editId="5CC68DA9">
          <wp:simplePos x="0" y="0"/>
          <wp:positionH relativeFrom="column">
            <wp:posOffset>-47625</wp:posOffset>
          </wp:positionH>
          <wp:positionV relativeFrom="paragraph">
            <wp:posOffset>0</wp:posOffset>
          </wp:positionV>
          <wp:extent cx="1297459" cy="428625"/>
          <wp:effectExtent l="0" t="0" r="0" b="0"/>
          <wp:wrapNone/>
          <wp:docPr id="1" name="Picture 1" descr="C:\Users\brownrb\Desktop\WSO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rb\Desktop\WSO LOGO 2015.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7459"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1E36">
      <w:rPr>
        <w:b/>
        <w:sz w:val="28"/>
        <w:szCs w:val="28"/>
      </w:rPr>
      <w:t>WorkSource Oregon Operational Standards</w:t>
    </w:r>
  </w:p>
  <w:p w:rsidR="004E4BC6" w:rsidRPr="00231E36" w:rsidRDefault="004E4BC6" w:rsidP="004E4BC6">
    <w:pPr>
      <w:pStyle w:val="Header"/>
      <w:pBdr>
        <w:bottom w:val="single" w:sz="4" w:space="1" w:color="auto"/>
      </w:pBdr>
      <w:jc w:val="right"/>
      <w:rPr>
        <w:b/>
        <w:sz w:val="28"/>
        <w:szCs w:val="28"/>
      </w:rPr>
    </w:pPr>
    <w:r w:rsidRPr="00231E36">
      <w:rPr>
        <w:b/>
        <w:sz w:val="28"/>
        <w:szCs w:val="28"/>
      </w:rPr>
      <w:t>YearONE Performance Measure Checklist</w:t>
    </w:r>
  </w:p>
  <w:p w:rsidR="00547B79" w:rsidRDefault="00547B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643BA"/>
    <w:multiLevelType w:val="hybridMultilevel"/>
    <w:tmpl w:val="FAB47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2025CD"/>
    <w:multiLevelType w:val="hybridMultilevel"/>
    <w:tmpl w:val="D578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5E4545"/>
    <w:multiLevelType w:val="hybridMultilevel"/>
    <w:tmpl w:val="45180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1B567C"/>
    <w:multiLevelType w:val="hybridMultilevel"/>
    <w:tmpl w:val="5B4C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BC6"/>
    <w:rsid w:val="000256A6"/>
    <w:rsid w:val="00031DF5"/>
    <w:rsid w:val="000B7B46"/>
    <w:rsid w:val="001A36B9"/>
    <w:rsid w:val="001A55EC"/>
    <w:rsid w:val="00346446"/>
    <w:rsid w:val="00351A82"/>
    <w:rsid w:val="003701D1"/>
    <w:rsid w:val="003728EC"/>
    <w:rsid w:val="004E4BC6"/>
    <w:rsid w:val="00512A1C"/>
    <w:rsid w:val="00547B79"/>
    <w:rsid w:val="0068184A"/>
    <w:rsid w:val="006B2365"/>
    <w:rsid w:val="006B7662"/>
    <w:rsid w:val="00732832"/>
    <w:rsid w:val="00751D94"/>
    <w:rsid w:val="00767B9A"/>
    <w:rsid w:val="007B14CE"/>
    <w:rsid w:val="007F2A6C"/>
    <w:rsid w:val="0082229A"/>
    <w:rsid w:val="008779AF"/>
    <w:rsid w:val="00946F3D"/>
    <w:rsid w:val="00AA5B8F"/>
    <w:rsid w:val="00AB718A"/>
    <w:rsid w:val="00B625B3"/>
    <w:rsid w:val="00B870F8"/>
    <w:rsid w:val="00BA1F38"/>
    <w:rsid w:val="00BB0CF7"/>
    <w:rsid w:val="00BE7B34"/>
    <w:rsid w:val="00BF413D"/>
    <w:rsid w:val="00C276EB"/>
    <w:rsid w:val="00C477DE"/>
    <w:rsid w:val="00C971BB"/>
    <w:rsid w:val="00CE003A"/>
    <w:rsid w:val="00D5782A"/>
    <w:rsid w:val="00D804A8"/>
    <w:rsid w:val="00DC6FD9"/>
    <w:rsid w:val="00E435CE"/>
    <w:rsid w:val="00E44403"/>
    <w:rsid w:val="00EC2D20"/>
    <w:rsid w:val="00FD1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BC6"/>
  </w:style>
  <w:style w:type="paragraph" w:styleId="Footer">
    <w:name w:val="footer"/>
    <w:basedOn w:val="Normal"/>
    <w:link w:val="FooterChar"/>
    <w:uiPriority w:val="99"/>
    <w:unhideWhenUsed/>
    <w:rsid w:val="004E4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BC6"/>
  </w:style>
  <w:style w:type="paragraph" w:styleId="NoSpacing">
    <w:name w:val="No Spacing"/>
    <w:uiPriority w:val="1"/>
    <w:qFormat/>
    <w:rsid w:val="004E4BC6"/>
    <w:pPr>
      <w:spacing w:after="0" w:line="240" w:lineRule="auto"/>
    </w:pPr>
  </w:style>
  <w:style w:type="table" w:styleId="TableGrid">
    <w:name w:val="Table Grid"/>
    <w:basedOn w:val="TableNormal"/>
    <w:uiPriority w:val="59"/>
    <w:rsid w:val="004E4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BC6"/>
    <w:pPr>
      <w:ind w:left="720"/>
      <w:contextualSpacing/>
    </w:pPr>
  </w:style>
  <w:style w:type="paragraph" w:styleId="BalloonText">
    <w:name w:val="Balloon Text"/>
    <w:basedOn w:val="Normal"/>
    <w:link w:val="BalloonTextChar"/>
    <w:uiPriority w:val="99"/>
    <w:semiHidden/>
    <w:unhideWhenUsed/>
    <w:rsid w:val="00877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9AF"/>
    <w:rPr>
      <w:rFonts w:ascii="Tahoma" w:hAnsi="Tahoma" w:cs="Tahoma"/>
      <w:sz w:val="16"/>
      <w:szCs w:val="16"/>
    </w:rPr>
  </w:style>
  <w:style w:type="character" w:styleId="Hyperlink">
    <w:name w:val="Hyperlink"/>
    <w:basedOn w:val="DefaultParagraphFont"/>
    <w:uiPriority w:val="99"/>
    <w:semiHidden/>
    <w:unhideWhenUsed/>
    <w:rsid w:val="001A36B9"/>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B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BC6"/>
  </w:style>
  <w:style w:type="paragraph" w:styleId="Footer">
    <w:name w:val="footer"/>
    <w:basedOn w:val="Normal"/>
    <w:link w:val="FooterChar"/>
    <w:uiPriority w:val="99"/>
    <w:unhideWhenUsed/>
    <w:rsid w:val="004E4B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BC6"/>
  </w:style>
  <w:style w:type="paragraph" w:styleId="NoSpacing">
    <w:name w:val="No Spacing"/>
    <w:uiPriority w:val="1"/>
    <w:qFormat/>
    <w:rsid w:val="004E4BC6"/>
    <w:pPr>
      <w:spacing w:after="0" w:line="240" w:lineRule="auto"/>
    </w:pPr>
  </w:style>
  <w:style w:type="table" w:styleId="TableGrid">
    <w:name w:val="Table Grid"/>
    <w:basedOn w:val="TableNormal"/>
    <w:uiPriority w:val="59"/>
    <w:rsid w:val="004E4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BC6"/>
    <w:pPr>
      <w:ind w:left="720"/>
      <w:contextualSpacing/>
    </w:pPr>
  </w:style>
  <w:style w:type="paragraph" w:styleId="BalloonText">
    <w:name w:val="Balloon Text"/>
    <w:basedOn w:val="Normal"/>
    <w:link w:val="BalloonTextChar"/>
    <w:uiPriority w:val="99"/>
    <w:semiHidden/>
    <w:unhideWhenUsed/>
    <w:rsid w:val="00877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9AF"/>
    <w:rPr>
      <w:rFonts w:ascii="Tahoma" w:hAnsi="Tahoma" w:cs="Tahoma"/>
      <w:sz w:val="16"/>
      <w:szCs w:val="16"/>
    </w:rPr>
  </w:style>
  <w:style w:type="character" w:styleId="Hyperlink">
    <w:name w:val="Hyperlink"/>
    <w:basedOn w:val="DefaultParagraphFont"/>
    <w:uiPriority w:val="99"/>
    <w:semiHidden/>
    <w:unhideWhenUsed/>
    <w:rsid w:val="001A36B9"/>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sostandards@oregon.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Oregon Employment Department</Company>
  <LinksUpToDate>false</LinksUpToDate>
  <CharactersWithSpaces>7800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Robert B</dc:creator>
  <cp:lastModifiedBy>Windows User</cp:lastModifiedBy>
  <cp:revision>3</cp:revision>
  <cp:lastPrinted>2015-09-11T21:15:00Z</cp:lastPrinted>
  <dcterms:created xsi:type="dcterms:W3CDTF">2016-04-19T21:26:00Z</dcterms:created>
  <dcterms:modified xsi:type="dcterms:W3CDTF">2016-04-19T21:29:00Z</dcterms:modified>
</cp:coreProperties>
</file>